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8A01" w14:textId="32549C28" w:rsidR="00F956C6" w:rsidRDefault="00F956C6" w:rsidP="3793D51F">
      <w:pPr>
        <w:spacing w:after="0" w:line="240" w:lineRule="auto"/>
        <w:contextualSpacing/>
        <w:jc w:val="center"/>
        <w:rPr>
          <w:rFonts w:ascii="Arial" w:hAnsi="Arial" w:cs="Arial"/>
          <w:b/>
          <w:bCs/>
          <w:sz w:val="24"/>
          <w:szCs w:val="24"/>
        </w:rPr>
      </w:pPr>
      <w:r w:rsidRPr="285E7E0D">
        <w:rPr>
          <w:rFonts w:ascii="Arial" w:hAnsi="Arial" w:cs="Arial"/>
          <w:b/>
          <w:bCs/>
          <w:sz w:val="24"/>
          <w:szCs w:val="24"/>
        </w:rPr>
        <w:t>Quality Transformation Initiative</w:t>
      </w:r>
      <w:r w:rsidR="6A4C5165" w:rsidRPr="285E7E0D">
        <w:rPr>
          <w:rFonts w:ascii="Arial" w:hAnsi="Arial" w:cs="Arial"/>
          <w:b/>
          <w:bCs/>
          <w:sz w:val="24"/>
          <w:szCs w:val="24"/>
        </w:rPr>
        <w:t xml:space="preserve"> (QTI)</w:t>
      </w:r>
      <w:r w:rsidRPr="285E7E0D">
        <w:rPr>
          <w:rFonts w:ascii="Arial" w:hAnsi="Arial" w:cs="Arial"/>
          <w:b/>
          <w:bCs/>
          <w:sz w:val="24"/>
          <w:szCs w:val="24"/>
        </w:rPr>
        <w:t xml:space="preserve"> Memo</w:t>
      </w:r>
    </w:p>
    <w:p w14:paraId="06D350A0" w14:textId="02CE9579" w:rsidR="00EF657C" w:rsidRPr="0025506D" w:rsidRDefault="76A53A1D" w:rsidP="09F3729F">
      <w:pPr>
        <w:spacing w:after="0" w:line="240" w:lineRule="auto"/>
        <w:contextualSpacing/>
        <w:jc w:val="center"/>
        <w:rPr>
          <w:rFonts w:ascii="Arial" w:eastAsia="Arial" w:hAnsi="Arial" w:cs="Arial"/>
          <w:sz w:val="24"/>
          <w:szCs w:val="24"/>
        </w:rPr>
      </w:pPr>
      <w:r w:rsidRPr="3B0C1352">
        <w:rPr>
          <w:rFonts w:ascii="Arial" w:hAnsi="Arial" w:cs="Arial"/>
          <w:sz w:val="24"/>
          <w:szCs w:val="24"/>
        </w:rPr>
        <w:t>October</w:t>
      </w:r>
      <w:r w:rsidR="2B1D04E0" w:rsidRPr="3B0C1352">
        <w:rPr>
          <w:rFonts w:ascii="Arial" w:hAnsi="Arial" w:cs="Arial"/>
          <w:sz w:val="24"/>
          <w:szCs w:val="24"/>
        </w:rPr>
        <w:t xml:space="preserve"> 202</w:t>
      </w:r>
      <w:r w:rsidR="1CA0BE80" w:rsidRPr="3B0C1352">
        <w:rPr>
          <w:rFonts w:ascii="Arial" w:hAnsi="Arial" w:cs="Arial"/>
          <w:sz w:val="24"/>
          <w:szCs w:val="24"/>
        </w:rPr>
        <w:t>5</w:t>
      </w:r>
    </w:p>
    <w:p w14:paraId="40732F79" w14:textId="77777777" w:rsidR="005A45C3" w:rsidRPr="00F956C6" w:rsidRDefault="005A45C3" w:rsidP="000967A2">
      <w:pPr>
        <w:spacing w:after="0" w:line="240" w:lineRule="auto"/>
        <w:contextualSpacing/>
        <w:rPr>
          <w:rFonts w:ascii="Arial" w:hAnsi="Arial" w:cs="Arial"/>
          <w:b/>
          <w:sz w:val="24"/>
          <w:szCs w:val="24"/>
        </w:rPr>
      </w:pPr>
    </w:p>
    <w:p w14:paraId="2EEC4139" w14:textId="35D558CC" w:rsidR="3793D51F" w:rsidRDefault="006A3384" w:rsidP="3793D51F">
      <w:pPr>
        <w:spacing w:after="0" w:line="240" w:lineRule="auto"/>
        <w:contextualSpacing/>
        <w:rPr>
          <w:rFonts w:ascii="Arial" w:hAnsi="Arial" w:cs="Arial"/>
          <w:sz w:val="24"/>
          <w:szCs w:val="24"/>
        </w:rPr>
      </w:pPr>
      <w:r w:rsidRPr="7D43FAA7">
        <w:rPr>
          <w:rFonts w:ascii="Arial" w:hAnsi="Arial" w:cs="Arial"/>
          <w:sz w:val="24"/>
          <w:szCs w:val="24"/>
        </w:rPr>
        <w:t xml:space="preserve">The purpose of this </w:t>
      </w:r>
      <w:r w:rsidR="75EC5AB3" w:rsidRPr="7D43FAA7">
        <w:rPr>
          <w:rFonts w:ascii="Arial" w:hAnsi="Arial" w:cs="Arial"/>
          <w:sz w:val="24"/>
          <w:szCs w:val="24"/>
        </w:rPr>
        <w:t xml:space="preserve">Quality Transformation Initiative (QTI) </w:t>
      </w:r>
      <w:r w:rsidR="00D53DCB" w:rsidRPr="7D43FAA7">
        <w:rPr>
          <w:rFonts w:ascii="Arial" w:hAnsi="Arial" w:cs="Arial"/>
          <w:sz w:val="24"/>
          <w:szCs w:val="24"/>
        </w:rPr>
        <w:t xml:space="preserve">memo </w:t>
      </w:r>
      <w:r w:rsidR="0027151C" w:rsidRPr="7D43FAA7">
        <w:rPr>
          <w:rFonts w:ascii="Arial" w:hAnsi="Arial" w:cs="Arial"/>
          <w:sz w:val="24"/>
          <w:szCs w:val="24"/>
        </w:rPr>
        <w:t xml:space="preserve">is </w:t>
      </w:r>
      <w:r w:rsidR="00D53DCB" w:rsidRPr="7D43FAA7">
        <w:rPr>
          <w:rFonts w:ascii="Arial" w:hAnsi="Arial" w:cs="Arial"/>
          <w:sz w:val="24"/>
          <w:szCs w:val="24"/>
        </w:rPr>
        <w:t>to</w:t>
      </w:r>
      <w:r w:rsidR="00CEFE31" w:rsidRPr="7D43FAA7">
        <w:rPr>
          <w:rFonts w:ascii="Arial" w:hAnsi="Arial" w:cs="Arial"/>
          <w:sz w:val="24"/>
          <w:szCs w:val="24"/>
        </w:rPr>
        <w:t>:</w:t>
      </w:r>
    </w:p>
    <w:p w14:paraId="1ECD4E62" w14:textId="04D11AC0" w:rsidR="62E6772A" w:rsidRDefault="62E6772A" w:rsidP="0899087F">
      <w:pPr>
        <w:pStyle w:val="ListParagraph"/>
        <w:numPr>
          <w:ilvl w:val="0"/>
          <w:numId w:val="13"/>
        </w:numPr>
        <w:rPr>
          <w:rFonts w:ascii="Arial" w:eastAsia="Calibri" w:hAnsi="Arial" w:cs="Arial"/>
        </w:rPr>
      </w:pPr>
      <w:r w:rsidRPr="7D43FAA7">
        <w:rPr>
          <w:rFonts w:ascii="Arial" w:eastAsia="Calibri" w:hAnsi="Arial" w:cs="Arial"/>
          <w:sz w:val="24"/>
          <w:szCs w:val="24"/>
        </w:rPr>
        <w:t xml:space="preserve">Confirm the Premium Percent At Risk for </w:t>
      </w:r>
      <w:r w:rsidR="4D1D322D" w:rsidRPr="7D43FAA7">
        <w:rPr>
          <w:rFonts w:ascii="Arial" w:eastAsia="Calibri" w:hAnsi="Arial" w:cs="Arial"/>
          <w:sz w:val="24"/>
          <w:szCs w:val="24"/>
        </w:rPr>
        <w:t>Measurement Year (</w:t>
      </w:r>
      <w:r w:rsidRPr="7D43FAA7">
        <w:rPr>
          <w:rFonts w:ascii="Arial" w:eastAsia="Calibri" w:hAnsi="Arial" w:cs="Arial"/>
          <w:sz w:val="24"/>
          <w:szCs w:val="24"/>
        </w:rPr>
        <w:t>MY</w:t>
      </w:r>
      <w:r w:rsidR="3F641127" w:rsidRPr="7D43FAA7">
        <w:rPr>
          <w:rFonts w:ascii="Arial" w:eastAsia="Calibri" w:hAnsi="Arial" w:cs="Arial"/>
          <w:sz w:val="24"/>
          <w:szCs w:val="24"/>
        </w:rPr>
        <w:t xml:space="preserve">) </w:t>
      </w:r>
      <w:r w:rsidRPr="7D43FAA7">
        <w:rPr>
          <w:rFonts w:ascii="Arial" w:eastAsia="Calibri" w:hAnsi="Arial" w:cs="Arial"/>
          <w:sz w:val="24"/>
          <w:szCs w:val="24"/>
        </w:rPr>
        <w:t>2025 at 2.3%.</w:t>
      </w:r>
    </w:p>
    <w:p w14:paraId="1DD17B54" w14:textId="78A5CFCC" w:rsidR="07D38846" w:rsidRPr="00AC1F98" w:rsidRDefault="07D38846" w:rsidP="3B0C1352">
      <w:pPr>
        <w:pStyle w:val="ListParagraph"/>
        <w:numPr>
          <w:ilvl w:val="0"/>
          <w:numId w:val="13"/>
        </w:numPr>
        <w:rPr>
          <w:rFonts w:ascii="Arial" w:eastAsia="Calibri" w:hAnsi="Arial" w:cs="Arial"/>
          <w:sz w:val="24"/>
          <w:szCs w:val="24"/>
        </w:rPr>
      </w:pPr>
      <w:r w:rsidRPr="7D43FAA7">
        <w:rPr>
          <w:rFonts w:ascii="Arial" w:eastAsia="Calibri" w:hAnsi="Arial" w:cs="Arial"/>
          <w:sz w:val="24"/>
          <w:szCs w:val="24"/>
        </w:rPr>
        <w:t>Provide details on the MY 2025 QTI Assessment parameters by measure.</w:t>
      </w:r>
    </w:p>
    <w:p w14:paraId="4B0E5D18" w14:textId="4E5D78DB" w:rsidR="07D38846" w:rsidRPr="00AC1F98" w:rsidRDefault="07D38846" w:rsidP="3B0C1352">
      <w:pPr>
        <w:pStyle w:val="ListParagraph"/>
        <w:numPr>
          <w:ilvl w:val="0"/>
          <w:numId w:val="13"/>
        </w:numPr>
        <w:rPr>
          <w:rFonts w:ascii="Arial" w:hAnsi="Arial" w:cs="Arial"/>
          <w:sz w:val="24"/>
          <w:szCs w:val="24"/>
        </w:rPr>
      </w:pPr>
      <w:r w:rsidRPr="00AC1F98">
        <w:rPr>
          <w:rFonts w:ascii="Arial" w:hAnsi="Arial" w:cs="Arial"/>
          <w:sz w:val="24"/>
          <w:szCs w:val="24"/>
        </w:rPr>
        <w:t>Confirm the continuation of the Childhood Immunization Status Combo 10 (CIS10) Allowance Program under the same parameters as MY2024.</w:t>
      </w:r>
    </w:p>
    <w:p w14:paraId="7AC4EBB1" w14:textId="77777777" w:rsidR="002E774C" w:rsidRDefault="002E774C" w:rsidP="002E774C">
      <w:pPr>
        <w:spacing w:after="0" w:line="240" w:lineRule="auto"/>
        <w:rPr>
          <w:rFonts w:ascii="Arial" w:hAnsi="Arial" w:cs="Arial"/>
          <w:sz w:val="24"/>
          <w:szCs w:val="24"/>
        </w:rPr>
      </w:pPr>
    </w:p>
    <w:p w14:paraId="0857AAAA" w14:textId="1D0EBF27" w:rsidR="0ACC0517" w:rsidRDefault="0ACC0517" w:rsidP="15898A97">
      <w:pPr>
        <w:spacing w:after="0" w:line="240" w:lineRule="auto"/>
        <w:contextualSpacing/>
        <w:rPr>
          <w:rFonts w:ascii="Arial" w:hAnsi="Arial" w:cs="Arial"/>
          <w:b/>
          <w:bCs/>
          <w:sz w:val="28"/>
          <w:szCs w:val="28"/>
        </w:rPr>
      </w:pPr>
      <w:r w:rsidRPr="7D43FAA7">
        <w:rPr>
          <w:rFonts w:ascii="Arial" w:hAnsi="Arial" w:cs="Arial"/>
          <w:b/>
          <w:bCs/>
          <w:sz w:val="28"/>
          <w:szCs w:val="28"/>
        </w:rPr>
        <w:t xml:space="preserve">MY2025 QTI Percent At Risk </w:t>
      </w:r>
    </w:p>
    <w:p w14:paraId="56F293BD" w14:textId="724CF91A" w:rsidR="15898A97" w:rsidRDefault="15898A97" w:rsidP="15898A97">
      <w:pPr>
        <w:spacing w:after="0" w:line="240" w:lineRule="auto"/>
        <w:contextualSpacing/>
        <w:rPr>
          <w:rFonts w:ascii="Arial" w:hAnsi="Arial" w:cs="Arial"/>
          <w:b/>
          <w:bCs/>
          <w:sz w:val="28"/>
          <w:szCs w:val="28"/>
        </w:rPr>
      </w:pPr>
    </w:p>
    <w:p w14:paraId="7BECF502" w14:textId="4F5F7AED" w:rsidR="0ACC0517" w:rsidRDefault="0ACC0517" w:rsidP="7D43FAA7">
      <w:pPr>
        <w:rPr>
          <w:rFonts w:ascii="Arial" w:eastAsia="Arial" w:hAnsi="Arial" w:cs="Arial"/>
          <w:sz w:val="24"/>
          <w:szCs w:val="24"/>
        </w:rPr>
      </w:pPr>
      <w:r w:rsidRPr="7D43FAA7">
        <w:rPr>
          <w:rFonts w:ascii="Arial" w:eastAsia="Arial" w:hAnsi="Arial" w:cs="Arial"/>
          <w:sz w:val="24"/>
          <w:szCs w:val="24"/>
        </w:rPr>
        <w:t>Under the</w:t>
      </w:r>
      <w:r w:rsidR="59A2B409" w:rsidRPr="7D43FAA7">
        <w:rPr>
          <w:rFonts w:ascii="Arial" w:eastAsia="Arial" w:hAnsi="Arial" w:cs="Arial"/>
          <w:sz w:val="24"/>
          <w:szCs w:val="24"/>
        </w:rPr>
        <w:t xml:space="preserve"> 2023-2025 Qualified Health Plan</w:t>
      </w:r>
      <w:r w:rsidR="4EC8075F" w:rsidRPr="7D43FAA7">
        <w:rPr>
          <w:rFonts w:ascii="Arial" w:eastAsia="Arial" w:hAnsi="Arial" w:cs="Arial"/>
          <w:sz w:val="24"/>
          <w:szCs w:val="24"/>
        </w:rPr>
        <w:t xml:space="preserve"> (QHP)</w:t>
      </w:r>
      <w:r w:rsidR="59A2B409" w:rsidRPr="7D43FAA7">
        <w:rPr>
          <w:rFonts w:ascii="Arial" w:eastAsia="Arial" w:hAnsi="Arial" w:cs="Arial"/>
          <w:sz w:val="24"/>
          <w:szCs w:val="24"/>
        </w:rPr>
        <w:t xml:space="preserve"> Issuer Contract</w:t>
      </w:r>
      <w:r w:rsidR="4F10F328" w:rsidRPr="7D43FAA7">
        <w:rPr>
          <w:rFonts w:ascii="Arial" w:eastAsia="Arial" w:hAnsi="Arial" w:cs="Arial"/>
          <w:sz w:val="24"/>
          <w:szCs w:val="24"/>
          <w:vertAlign w:val="superscript"/>
        </w:rPr>
        <w:t>1</w:t>
      </w:r>
      <w:r w:rsidRPr="7D43FAA7">
        <w:rPr>
          <w:rFonts w:ascii="Arial" w:eastAsia="Arial" w:hAnsi="Arial" w:cs="Arial"/>
          <w:sz w:val="24"/>
          <w:szCs w:val="24"/>
        </w:rPr>
        <w:t xml:space="preserve">, </w:t>
      </w:r>
      <w:r w:rsidR="6FD5945D" w:rsidRPr="7D43FAA7">
        <w:rPr>
          <w:rFonts w:ascii="Arial" w:eastAsia="Arial" w:hAnsi="Arial" w:cs="Arial"/>
          <w:sz w:val="24"/>
          <w:szCs w:val="24"/>
        </w:rPr>
        <w:t>QHP issuers are</w:t>
      </w:r>
      <w:r w:rsidRPr="7D43FAA7">
        <w:rPr>
          <w:rFonts w:ascii="Arial" w:eastAsia="Arial" w:hAnsi="Arial" w:cs="Arial"/>
          <w:sz w:val="24"/>
          <w:szCs w:val="24"/>
        </w:rPr>
        <w:t xml:space="preserve"> subject to potential payment</w:t>
      </w:r>
      <w:r w:rsidR="2FFAF4C3" w:rsidRPr="7D43FAA7">
        <w:rPr>
          <w:rFonts w:ascii="Arial" w:eastAsia="Arial" w:hAnsi="Arial" w:cs="Arial"/>
          <w:sz w:val="24"/>
          <w:szCs w:val="24"/>
        </w:rPr>
        <w:t xml:space="preserve"> </w:t>
      </w:r>
      <w:r w:rsidRPr="7D43FAA7">
        <w:rPr>
          <w:rFonts w:ascii="Arial" w:eastAsia="Arial" w:hAnsi="Arial" w:cs="Arial"/>
          <w:sz w:val="24"/>
          <w:szCs w:val="24"/>
        </w:rPr>
        <w:t>obligations for quality and health equity performance, with maximum obligations</w:t>
      </w:r>
      <w:r w:rsidR="37536083" w:rsidRPr="7D43FAA7">
        <w:rPr>
          <w:rFonts w:ascii="Arial" w:eastAsia="Arial" w:hAnsi="Arial" w:cs="Arial"/>
          <w:sz w:val="24"/>
          <w:szCs w:val="24"/>
        </w:rPr>
        <w:t xml:space="preserve"> </w:t>
      </w:r>
      <w:r w:rsidRPr="7D43FAA7">
        <w:rPr>
          <w:rFonts w:ascii="Arial" w:eastAsia="Arial" w:hAnsi="Arial" w:cs="Arial"/>
          <w:sz w:val="24"/>
          <w:szCs w:val="24"/>
        </w:rPr>
        <w:t>beginning at 1% of total gross premium per product and increasing annually up to 3%</w:t>
      </w:r>
      <w:r w:rsidR="30E92B46" w:rsidRPr="7D43FAA7">
        <w:rPr>
          <w:rFonts w:ascii="Arial" w:eastAsia="Arial" w:hAnsi="Arial" w:cs="Arial"/>
          <w:sz w:val="24"/>
          <w:szCs w:val="24"/>
        </w:rPr>
        <w:t xml:space="preserve"> </w:t>
      </w:r>
      <w:r w:rsidRPr="7D43FAA7">
        <w:rPr>
          <w:rFonts w:ascii="Arial" w:eastAsia="Arial" w:hAnsi="Arial" w:cs="Arial"/>
          <w:sz w:val="24"/>
          <w:szCs w:val="24"/>
        </w:rPr>
        <w:t xml:space="preserve">over the contract period, and up to 4% in future contract years. </w:t>
      </w:r>
      <w:r w:rsidR="56FB225D" w:rsidRPr="7D43FAA7">
        <w:rPr>
          <w:rFonts w:ascii="Arial" w:eastAsia="Arial" w:hAnsi="Arial" w:cs="Arial"/>
          <w:sz w:val="24"/>
          <w:szCs w:val="24"/>
        </w:rPr>
        <w:t>Attachment 4 (Section 1.02)</w:t>
      </w:r>
      <w:r w:rsidR="56FB225D" w:rsidRPr="7D43FAA7">
        <w:rPr>
          <w:rFonts w:ascii="Arial" w:eastAsia="Arial" w:hAnsi="Arial" w:cs="Arial"/>
          <w:sz w:val="24"/>
          <w:szCs w:val="24"/>
          <w:vertAlign w:val="superscript"/>
        </w:rPr>
        <w:t>2</w:t>
      </w:r>
      <w:r w:rsidRPr="7D43FAA7">
        <w:rPr>
          <w:rFonts w:ascii="Arial" w:eastAsia="Arial" w:hAnsi="Arial" w:cs="Arial"/>
          <w:sz w:val="24"/>
          <w:szCs w:val="24"/>
        </w:rPr>
        <w:t xml:space="preserve"> specifies that for MY2025, the full per-measure QTI payment is equal to up to</w:t>
      </w:r>
      <w:r w:rsidR="407AAF0C" w:rsidRPr="7D43FAA7">
        <w:rPr>
          <w:rFonts w:ascii="Arial" w:eastAsia="Arial" w:hAnsi="Arial" w:cs="Arial"/>
          <w:sz w:val="24"/>
          <w:szCs w:val="24"/>
        </w:rPr>
        <w:t xml:space="preserve"> </w:t>
      </w:r>
      <w:r w:rsidRPr="7D43FAA7">
        <w:rPr>
          <w:rFonts w:ascii="Arial" w:eastAsia="Arial" w:hAnsi="Arial" w:cs="Arial"/>
          <w:sz w:val="24"/>
          <w:szCs w:val="24"/>
        </w:rPr>
        <w:t xml:space="preserve">2.8% of total gross premium per product, </w:t>
      </w:r>
      <w:r w:rsidR="7C25C117" w:rsidRPr="7D43FAA7">
        <w:rPr>
          <w:rFonts w:ascii="Arial" w:eastAsia="Arial" w:hAnsi="Arial" w:cs="Arial"/>
          <w:sz w:val="24"/>
          <w:szCs w:val="24"/>
        </w:rPr>
        <w:t>divided equally by each reportable QTI Core Measure for that product</w:t>
      </w:r>
      <w:r w:rsidRPr="7D43FAA7">
        <w:rPr>
          <w:rFonts w:ascii="Arial" w:eastAsia="Arial" w:hAnsi="Arial" w:cs="Arial"/>
          <w:sz w:val="24"/>
          <w:szCs w:val="24"/>
        </w:rPr>
        <w:t xml:space="preserve">. </w:t>
      </w:r>
    </w:p>
    <w:p w14:paraId="21575598" w14:textId="7BF30F61" w:rsidR="0ACC0517" w:rsidRDefault="1D674AB9" w:rsidP="15898A97">
      <w:pPr>
        <w:rPr>
          <w:rFonts w:ascii="Arial" w:eastAsia="Arial" w:hAnsi="Arial" w:cs="Arial"/>
          <w:sz w:val="24"/>
          <w:szCs w:val="24"/>
        </w:rPr>
      </w:pPr>
      <w:r w:rsidRPr="7D43FAA7">
        <w:rPr>
          <w:rFonts w:ascii="Arial" w:eastAsia="Arial" w:hAnsi="Arial" w:cs="Arial"/>
          <w:b/>
          <w:bCs/>
          <w:sz w:val="24"/>
          <w:szCs w:val="24"/>
        </w:rPr>
        <w:t>For MY2025, the premium percent at risk is 2.3%</w:t>
      </w:r>
      <w:r w:rsidR="39813259" w:rsidRPr="7D43FAA7">
        <w:rPr>
          <w:rFonts w:ascii="Arial" w:eastAsia="Arial" w:hAnsi="Arial" w:cs="Arial"/>
          <w:b/>
          <w:bCs/>
          <w:sz w:val="24"/>
          <w:szCs w:val="24"/>
        </w:rPr>
        <w:t xml:space="preserve"> of total gross premium per product. </w:t>
      </w:r>
      <w:r w:rsidRPr="7D43FAA7">
        <w:rPr>
          <w:rFonts w:ascii="Arial" w:eastAsia="Arial" w:hAnsi="Arial" w:cs="Arial"/>
          <w:sz w:val="24"/>
          <w:szCs w:val="24"/>
        </w:rPr>
        <w:t>This amount maintains momentum on quality</w:t>
      </w:r>
      <w:r w:rsidR="491A56F4" w:rsidRPr="7D43FAA7">
        <w:rPr>
          <w:rFonts w:ascii="Arial" w:eastAsia="Arial" w:hAnsi="Arial" w:cs="Arial"/>
          <w:sz w:val="24"/>
          <w:szCs w:val="24"/>
        </w:rPr>
        <w:t xml:space="preserve"> </w:t>
      </w:r>
      <w:r w:rsidRPr="7D43FAA7">
        <w:rPr>
          <w:rFonts w:ascii="Arial" w:eastAsia="Arial" w:hAnsi="Arial" w:cs="Arial"/>
          <w:sz w:val="24"/>
          <w:szCs w:val="24"/>
        </w:rPr>
        <w:t>improvement efforts</w:t>
      </w:r>
      <w:r w:rsidR="732B1BDC" w:rsidRPr="7D43FAA7">
        <w:rPr>
          <w:rFonts w:ascii="Arial" w:eastAsia="Arial" w:hAnsi="Arial" w:cs="Arial"/>
          <w:sz w:val="24"/>
          <w:szCs w:val="24"/>
        </w:rPr>
        <w:t xml:space="preserve"> </w:t>
      </w:r>
      <w:r w:rsidRPr="7D43FAA7">
        <w:rPr>
          <w:rFonts w:ascii="Arial" w:eastAsia="Arial" w:hAnsi="Arial" w:cs="Arial"/>
          <w:sz w:val="24"/>
          <w:szCs w:val="24"/>
        </w:rPr>
        <w:t>and supports continued progress across all QTI</w:t>
      </w:r>
      <w:r w:rsidR="2C2C7D7E" w:rsidRPr="7D43FAA7">
        <w:rPr>
          <w:rFonts w:ascii="Arial" w:eastAsia="Arial" w:hAnsi="Arial" w:cs="Arial"/>
          <w:sz w:val="24"/>
          <w:szCs w:val="24"/>
        </w:rPr>
        <w:t xml:space="preserve"> </w:t>
      </w:r>
      <w:r w:rsidRPr="7D43FAA7">
        <w:rPr>
          <w:rFonts w:ascii="Arial" w:eastAsia="Arial" w:hAnsi="Arial" w:cs="Arial"/>
          <w:sz w:val="24"/>
          <w:szCs w:val="24"/>
        </w:rPr>
        <w:t>measures, encouraging performance above the 66th percentile</w:t>
      </w:r>
      <w:r w:rsidR="22540B5E" w:rsidRPr="7D43FAA7">
        <w:rPr>
          <w:rFonts w:ascii="Arial" w:eastAsia="Arial" w:hAnsi="Arial" w:cs="Arial"/>
          <w:sz w:val="24"/>
          <w:szCs w:val="24"/>
        </w:rPr>
        <w:t xml:space="preserve">, while remaining responsive to broader market dynamics and challenges that may influence issuer performance. </w:t>
      </w:r>
      <w:r w:rsidR="3AD918D9" w:rsidRPr="7D43FAA7">
        <w:rPr>
          <w:rFonts w:ascii="Arial" w:eastAsia="Arial" w:hAnsi="Arial" w:cs="Arial"/>
          <w:sz w:val="24"/>
          <w:szCs w:val="24"/>
        </w:rPr>
        <w:t xml:space="preserve"> </w:t>
      </w:r>
    </w:p>
    <w:p w14:paraId="63628C4D" w14:textId="0A2206A5" w:rsidR="15898A97" w:rsidRDefault="15898A97" w:rsidP="15898A97">
      <w:pPr>
        <w:spacing w:after="0" w:line="240" w:lineRule="auto"/>
        <w:contextualSpacing/>
        <w:rPr>
          <w:rFonts w:ascii="Arial" w:hAnsi="Arial" w:cs="Arial"/>
          <w:b/>
          <w:bCs/>
          <w:sz w:val="28"/>
          <w:szCs w:val="28"/>
        </w:rPr>
      </w:pPr>
    </w:p>
    <w:p w14:paraId="2A5A553F" w14:textId="597135EA" w:rsidR="002E774C" w:rsidRPr="00BF2918" w:rsidRDefault="002E774C" w:rsidP="002E774C">
      <w:pPr>
        <w:spacing w:after="0" w:line="240" w:lineRule="auto"/>
        <w:contextualSpacing/>
        <w:rPr>
          <w:rFonts w:ascii="Arial" w:hAnsi="Arial" w:cs="Arial"/>
          <w:b/>
          <w:bCs/>
          <w:sz w:val="28"/>
          <w:szCs w:val="28"/>
        </w:rPr>
      </w:pPr>
      <w:r w:rsidRPr="3B0C1352">
        <w:rPr>
          <w:rFonts w:ascii="Arial" w:hAnsi="Arial" w:cs="Arial"/>
          <w:b/>
          <w:bCs/>
          <w:sz w:val="28"/>
          <w:szCs w:val="28"/>
        </w:rPr>
        <w:t>MY202</w:t>
      </w:r>
      <w:r w:rsidR="537F9CEB" w:rsidRPr="3B0C1352">
        <w:rPr>
          <w:rFonts w:ascii="Arial" w:hAnsi="Arial" w:cs="Arial"/>
          <w:b/>
          <w:bCs/>
          <w:sz w:val="28"/>
          <w:szCs w:val="28"/>
        </w:rPr>
        <w:t>5</w:t>
      </w:r>
      <w:r w:rsidRPr="3B0C1352">
        <w:rPr>
          <w:rFonts w:ascii="Arial" w:hAnsi="Arial" w:cs="Arial"/>
          <w:b/>
          <w:bCs/>
          <w:sz w:val="28"/>
          <w:szCs w:val="28"/>
        </w:rPr>
        <w:t xml:space="preserve"> QTI Assessment: Final Parameters by Measure</w:t>
      </w:r>
    </w:p>
    <w:p w14:paraId="66851159" w14:textId="77777777" w:rsidR="002E774C" w:rsidRDefault="002E774C" w:rsidP="002E774C">
      <w:pPr>
        <w:spacing w:after="0" w:line="240" w:lineRule="auto"/>
        <w:contextualSpacing/>
        <w:rPr>
          <w:rFonts w:ascii="Arial" w:hAnsi="Arial" w:cs="Arial"/>
          <w:sz w:val="24"/>
          <w:szCs w:val="24"/>
        </w:rPr>
      </w:pPr>
    </w:p>
    <w:p w14:paraId="2BF0E2AF" w14:textId="29AC2D06" w:rsidR="3F4692D0" w:rsidRDefault="3F4692D0" w:rsidP="3B0C1352">
      <w:pPr>
        <w:rPr>
          <w:rFonts w:ascii="Arial" w:eastAsia="Arial" w:hAnsi="Arial" w:cs="Arial"/>
        </w:rPr>
      </w:pPr>
      <w:r w:rsidRPr="3B0C1352">
        <w:rPr>
          <w:rFonts w:ascii="Arial" w:eastAsia="Arial" w:hAnsi="Arial" w:cs="Arial"/>
          <w:sz w:val="24"/>
          <w:szCs w:val="24"/>
        </w:rPr>
        <w:t>The following outlines the final parameters for the MY2025 QTI Assessment.</w:t>
      </w:r>
    </w:p>
    <w:p w14:paraId="51A01761" w14:textId="44C58AE9" w:rsidR="3F4692D0" w:rsidRDefault="3F4692D0" w:rsidP="3B0C1352">
      <w:pPr>
        <w:pStyle w:val="ListParagraph"/>
        <w:numPr>
          <w:ilvl w:val="0"/>
          <w:numId w:val="9"/>
        </w:numPr>
        <w:spacing w:before="240" w:after="240"/>
        <w:rPr>
          <w:rFonts w:ascii="Arial" w:eastAsia="Arial" w:hAnsi="Arial" w:cs="Arial"/>
          <w:sz w:val="24"/>
          <w:szCs w:val="24"/>
        </w:rPr>
      </w:pPr>
      <w:r w:rsidRPr="7D43FAA7">
        <w:rPr>
          <w:rFonts w:ascii="Arial" w:eastAsia="Arial" w:hAnsi="Arial" w:cs="Arial"/>
          <w:b/>
          <w:bCs/>
          <w:sz w:val="24"/>
          <w:szCs w:val="24"/>
        </w:rPr>
        <w:t>Controlling Blood Pressure (CBP)</w:t>
      </w:r>
      <w:r>
        <w:br/>
      </w:r>
      <w:r w:rsidRPr="7D43FAA7">
        <w:rPr>
          <w:rFonts w:ascii="Arial" w:eastAsia="Arial" w:hAnsi="Arial" w:cs="Arial"/>
          <w:sz w:val="24"/>
          <w:szCs w:val="24"/>
        </w:rPr>
        <w:t>Controlling Blood Pressure remains part of the MY2025 HEDIS® for QRS</w:t>
      </w:r>
      <w:r w:rsidR="311208F1" w:rsidRPr="7D43FAA7">
        <w:rPr>
          <w:rFonts w:ascii="Arial" w:eastAsia="Arial" w:hAnsi="Arial" w:cs="Arial"/>
          <w:sz w:val="24"/>
          <w:szCs w:val="24"/>
          <w:vertAlign w:val="superscript"/>
        </w:rPr>
        <w:t>3</w:t>
      </w:r>
      <w:r w:rsidRPr="7D43FAA7">
        <w:rPr>
          <w:rFonts w:ascii="Arial" w:eastAsia="Arial" w:hAnsi="Arial" w:cs="Arial"/>
          <w:sz w:val="24"/>
          <w:szCs w:val="24"/>
        </w:rPr>
        <w:t xml:space="preserve"> specifications and continues as a CMS-endorsed measure. There are no deviations from standard reporting requirements.</w:t>
      </w:r>
      <w:r w:rsidR="5BAEE8A4" w:rsidRPr="7D43FAA7">
        <w:rPr>
          <w:rFonts w:ascii="Arial" w:eastAsia="Arial" w:hAnsi="Arial" w:cs="Arial"/>
          <w:sz w:val="24"/>
          <w:szCs w:val="24"/>
        </w:rPr>
        <w:t xml:space="preserve"> </w:t>
      </w:r>
      <w:r w:rsidR="54AF325B" w:rsidRPr="7D43FAA7">
        <w:rPr>
          <w:rFonts w:ascii="Arial" w:eastAsia="Arial" w:hAnsi="Arial" w:cs="Arial"/>
          <w:sz w:val="24"/>
          <w:szCs w:val="24"/>
        </w:rPr>
        <w:t>Consistent with</w:t>
      </w:r>
      <w:r w:rsidR="4C4F853E" w:rsidRPr="7D43FAA7">
        <w:rPr>
          <w:rFonts w:ascii="Arial" w:eastAsia="Arial" w:hAnsi="Arial" w:cs="Arial"/>
          <w:sz w:val="24"/>
          <w:szCs w:val="24"/>
        </w:rPr>
        <w:t xml:space="preserve"> the 2023-2025 contract</w:t>
      </w:r>
      <w:r w:rsidR="54AF325B" w:rsidRPr="7D43FAA7">
        <w:rPr>
          <w:rFonts w:ascii="Arial" w:eastAsia="Arial" w:hAnsi="Arial" w:cs="Arial"/>
          <w:sz w:val="24"/>
          <w:szCs w:val="24"/>
        </w:rPr>
        <w:t xml:space="preserve"> program guidelines, the QRS percentile static benchmark for this measure is based on MY2021</w:t>
      </w:r>
      <w:r w:rsidR="3F2C02AE" w:rsidRPr="7D43FAA7">
        <w:rPr>
          <w:rFonts w:ascii="Arial" w:eastAsia="Arial" w:hAnsi="Arial" w:cs="Arial"/>
          <w:sz w:val="24"/>
          <w:szCs w:val="24"/>
        </w:rPr>
        <w:t>.</w:t>
      </w:r>
    </w:p>
    <w:p w14:paraId="7EB938B4" w14:textId="37FD7135" w:rsidR="3B0C1352" w:rsidRDefault="3B0C1352" w:rsidP="3B0C1352">
      <w:pPr>
        <w:pStyle w:val="ListParagraph"/>
        <w:spacing w:before="240" w:after="240"/>
        <w:rPr>
          <w:rFonts w:ascii="Arial" w:eastAsia="Arial" w:hAnsi="Arial" w:cs="Arial"/>
        </w:rPr>
      </w:pPr>
    </w:p>
    <w:p w14:paraId="4636DD0A" w14:textId="58B8F0ED" w:rsidR="000D743B" w:rsidRPr="008316AE" w:rsidRDefault="3F4692D0" w:rsidP="008316AE">
      <w:pPr>
        <w:pStyle w:val="ListParagraph"/>
        <w:numPr>
          <w:ilvl w:val="0"/>
          <w:numId w:val="9"/>
        </w:numPr>
        <w:spacing w:before="240" w:after="240"/>
        <w:rPr>
          <w:rFonts w:ascii="Arial" w:eastAsia="Arial" w:hAnsi="Arial" w:cs="Arial"/>
          <w:sz w:val="24"/>
          <w:szCs w:val="24"/>
        </w:rPr>
      </w:pPr>
      <w:r w:rsidRPr="7D43FAA7">
        <w:rPr>
          <w:rFonts w:ascii="Arial" w:eastAsia="Arial" w:hAnsi="Arial" w:cs="Arial"/>
          <w:b/>
          <w:bCs/>
          <w:sz w:val="24"/>
          <w:szCs w:val="24"/>
        </w:rPr>
        <w:t>Diabetes Control (Glycemic Status Assessment for Patients with Diabetes – GSD)</w:t>
      </w:r>
      <w:r>
        <w:br/>
      </w:r>
      <w:r w:rsidRPr="7D43FAA7">
        <w:rPr>
          <w:rFonts w:ascii="Arial" w:eastAsia="Arial" w:hAnsi="Arial" w:cs="Arial"/>
          <w:sz w:val="24"/>
          <w:szCs w:val="24"/>
        </w:rPr>
        <w:t xml:space="preserve">For MY2025, QTI will assess the Glycemic Status &lt;8.0% indicator. Although the QRS version of HEDIS® removed the &lt;8.0% indicator, QTI reporting will continue to use HEDIS® MY2025, Volume 2 </w:t>
      </w:r>
      <w:r w:rsidR="000D743B" w:rsidRPr="7D43FAA7">
        <w:rPr>
          <w:rFonts w:ascii="Arial" w:eastAsia="Arial" w:hAnsi="Arial" w:cs="Arial"/>
          <w:sz w:val="24"/>
          <w:szCs w:val="24"/>
        </w:rPr>
        <w:t>specifications</w:t>
      </w:r>
      <w:r w:rsidR="298C3EB8" w:rsidRPr="7D43FAA7">
        <w:rPr>
          <w:rFonts w:ascii="Arial" w:eastAsia="Arial" w:hAnsi="Arial" w:cs="Arial"/>
          <w:sz w:val="24"/>
          <w:szCs w:val="24"/>
          <w:vertAlign w:val="superscript"/>
        </w:rPr>
        <w:t>4</w:t>
      </w:r>
      <w:r w:rsidR="000D743B" w:rsidRPr="7D43FAA7">
        <w:rPr>
          <w:rFonts w:ascii="Arial" w:eastAsia="Arial" w:hAnsi="Arial" w:cs="Arial"/>
          <w:sz w:val="24"/>
          <w:szCs w:val="24"/>
        </w:rPr>
        <w:t>. To</w:t>
      </w:r>
      <w:r w:rsidRPr="7D43FAA7">
        <w:rPr>
          <w:rFonts w:ascii="Arial" w:eastAsia="Arial" w:hAnsi="Arial" w:cs="Arial"/>
          <w:sz w:val="24"/>
          <w:szCs w:val="24"/>
        </w:rPr>
        <w:t xml:space="preserve"> maintain alignment in diabetes management reporting, issuers are required to report GSD &lt;8.0% via the </w:t>
      </w:r>
      <w:r w:rsidR="00F93A5B" w:rsidRPr="7D43FAA7">
        <w:rPr>
          <w:rFonts w:ascii="Arial" w:eastAsia="Arial" w:hAnsi="Arial" w:cs="Arial"/>
          <w:sz w:val="24"/>
          <w:szCs w:val="24"/>
        </w:rPr>
        <w:t xml:space="preserve">QTI </w:t>
      </w:r>
      <w:r w:rsidRPr="7D43FAA7">
        <w:rPr>
          <w:rFonts w:ascii="Arial" w:eastAsia="Arial" w:hAnsi="Arial" w:cs="Arial"/>
          <w:sz w:val="24"/>
          <w:szCs w:val="24"/>
        </w:rPr>
        <w:t>Patient-Level Data (PLD) file.</w:t>
      </w:r>
      <w:r w:rsidR="7F6DC97A" w:rsidRPr="7D43FAA7">
        <w:rPr>
          <w:rFonts w:ascii="Arial" w:eastAsia="Arial" w:hAnsi="Arial" w:cs="Arial"/>
          <w:sz w:val="24"/>
          <w:szCs w:val="24"/>
        </w:rPr>
        <w:t xml:space="preserve"> Consistent with the 2023-2025 </w:t>
      </w:r>
      <w:r w:rsidR="7F6DC97A" w:rsidRPr="7D43FAA7">
        <w:rPr>
          <w:rFonts w:ascii="Arial" w:eastAsia="Arial" w:hAnsi="Arial" w:cs="Arial"/>
          <w:sz w:val="24"/>
          <w:szCs w:val="24"/>
        </w:rPr>
        <w:lastRenderedPageBreak/>
        <w:t>contract program guidelines, the QRS percentile static benchmark for this measure is based on MY2021.</w:t>
      </w:r>
    </w:p>
    <w:p w14:paraId="295BEA43" w14:textId="77777777" w:rsidR="000D743B" w:rsidRDefault="000D743B" w:rsidP="000D743B">
      <w:pPr>
        <w:pStyle w:val="ListParagraph"/>
        <w:spacing w:before="240" w:after="240"/>
        <w:rPr>
          <w:rFonts w:ascii="Arial" w:eastAsia="Arial" w:hAnsi="Arial" w:cs="Arial"/>
        </w:rPr>
      </w:pPr>
    </w:p>
    <w:p w14:paraId="71B700D7" w14:textId="4A1E04FB" w:rsidR="3F4692D0" w:rsidRPr="000D6AC4" w:rsidRDefault="53D1B67A" w:rsidP="3B0C1352">
      <w:pPr>
        <w:pStyle w:val="ListParagraph"/>
        <w:numPr>
          <w:ilvl w:val="0"/>
          <w:numId w:val="9"/>
        </w:numPr>
        <w:spacing w:before="240" w:after="240"/>
        <w:rPr>
          <w:rFonts w:ascii="Arial" w:eastAsia="Arial" w:hAnsi="Arial" w:cs="Arial"/>
          <w:sz w:val="24"/>
          <w:szCs w:val="24"/>
        </w:rPr>
      </w:pPr>
      <w:r w:rsidRPr="3B0C1352">
        <w:rPr>
          <w:rFonts w:ascii="Arial" w:eastAsia="Arial" w:hAnsi="Arial" w:cs="Arial"/>
          <w:b/>
          <w:bCs/>
          <w:sz w:val="24"/>
          <w:szCs w:val="24"/>
        </w:rPr>
        <w:t>Colorectal Cancer Screening (COL)</w:t>
      </w:r>
      <w:r w:rsidR="3F84325B" w:rsidRPr="00BC625B">
        <w:rPr>
          <w:rFonts w:ascii="Arial" w:hAnsi="Arial" w:cs="Arial"/>
          <w:color w:val="000000"/>
          <w:sz w:val="19"/>
          <w:szCs w:val="19"/>
          <w:bdr w:val="none" w:sz="0" w:space="0" w:color="auto" w:frame="1"/>
          <w:vertAlign w:val="superscript"/>
        </w:rPr>
        <w:t xml:space="preserve"> </w:t>
      </w:r>
      <w:r w:rsidR="3F84325B" w:rsidRPr="00BC625B">
        <w:rPr>
          <w:rFonts w:ascii="Arial" w:eastAsia="Arial" w:hAnsi="Arial" w:cs="Arial"/>
          <w:b/>
          <w:bCs/>
          <w:sz w:val="24"/>
          <w:szCs w:val="24"/>
          <w:vertAlign w:val="superscript"/>
        </w:rPr>
        <w:t>©</w:t>
      </w:r>
      <w:r w:rsidR="3F4692D0">
        <w:br/>
      </w:r>
      <w:r w:rsidRPr="000D6AC4">
        <w:rPr>
          <w:rFonts w:ascii="Arial" w:eastAsia="Arial" w:hAnsi="Arial" w:cs="Arial"/>
          <w:sz w:val="24"/>
          <w:szCs w:val="24"/>
        </w:rPr>
        <w:t>For MY2025, QTI assessment of colorectal cancer screening is limited to the 51–75 age band. Issuers must still submit data for the full 46–75 age range in the QTI PLD file. Covered California will extract the 51–75 cohort for QTI scoring.</w:t>
      </w:r>
      <w:r w:rsidR="3F2C56C3">
        <w:t xml:space="preserve"> </w:t>
      </w:r>
      <w:r w:rsidRPr="000D6AC4">
        <w:rPr>
          <w:rFonts w:ascii="Arial" w:eastAsia="Arial" w:hAnsi="Arial" w:cs="Arial"/>
          <w:sz w:val="24"/>
          <w:szCs w:val="24"/>
        </w:rPr>
        <w:t>Please note that QTI scoring may differ from CMS QRS calculations.</w:t>
      </w:r>
      <w:r w:rsidR="3F2C56C3">
        <w:t xml:space="preserve"> </w:t>
      </w:r>
      <w:r w:rsidRPr="000D6AC4">
        <w:rPr>
          <w:rFonts w:ascii="Arial" w:eastAsia="Arial" w:hAnsi="Arial" w:cs="Arial"/>
          <w:sz w:val="24"/>
          <w:szCs w:val="24"/>
        </w:rPr>
        <w:t>For specifications, refer to the MY2023 HEDIS® specifications for QRS</w:t>
      </w:r>
      <w:r w:rsidR="69E023E7" w:rsidRPr="1FEA0648">
        <w:rPr>
          <w:rFonts w:ascii="Arial" w:eastAsia="Arial" w:hAnsi="Arial" w:cs="Arial"/>
          <w:sz w:val="24"/>
          <w:szCs w:val="24"/>
          <w:vertAlign w:val="superscript"/>
        </w:rPr>
        <w:t>5</w:t>
      </w:r>
      <w:r w:rsidRPr="000D6AC4">
        <w:rPr>
          <w:rFonts w:ascii="Arial" w:eastAsia="Arial" w:hAnsi="Arial" w:cs="Arial"/>
          <w:sz w:val="24"/>
          <w:szCs w:val="24"/>
        </w:rPr>
        <w:t xml:space="preserve"> and the MY2023 HEDIS® QRS Technical Update</w:t>
      </w:r>
      <w:r w:rsidR="10C6A0F2" w:rsidRPr="1FEA0648">
        <w:rPr>
          <w:rFonts w:ascii="Arial" w:eastAsia="Arial" w:hAnsi="Arial" w:cs="Arial"/>
          <w:sz w:val="24"/>
          <w:szCs w:val="24"/>
          <w:vertAlign w:val="superscript"/>
        </w:rPr>
        <w:t>6</w:t>
      </w:r>
      <w:r w:rsidRPr="000D6AC4">
        <w:rPr>
          <w:rFonts w:ascii="Arial" w:eastAsia="Arial" w:hAnsi="Arial" w:cs="Arial"/>
          <w:sz w:val="24"/>
          <w:szCs w:val="24"/>
        </w:rPr>
        <w:t>, which include clarifications on age banding.</w:t>
      </w:r>
      <w:r w:rsidR="0B47F49A" w:rsidRPr="1FEA0648">
        <w:rPr>
          <w:rFonts w:ascii="Arial" w:eastAsia="Arial" w:hAnsi="Arial" w:cs="Arial"/>
          <w:sz w:val="24"/>
          <w:szCs w:val="24"/>
        </w:rPr>
        <w:t xml:space="preserve"> Consistent with the 2023-2025 contract program guidelines, the QRS percentile static benchmark for this measure is based on MY2021.</w:t>
      </w:r>
    </w:p>
    <w:p w14:paraId="3DA6B922" w14:textId="77777777" w:rsidR="000D6AC4" w:rsidRDefault="000D6AC4" w:rsidP="000D6AC4">
      <w:pPr>
        <w:pStyle w:val="ListParagraph"/>
        <w:spacing w:before="240" w:after="240"/>
        <w:rPr>
          <w:rFonts w:ascii="Arial" w:eastAsia="Arial" w:hAnsi="Arial" w:cs="Arial"/>
        </w:rPr>
      </w:pPr>
    </w:p>
    <w:p w14:paraId="126EC7AA" w14:textId="62112509" w:rsidR="3B0C1352" w:rsidRPr="00D13737" w:rsidRDefault="3F4692D0" w:rsidP="00ED19AA">
      <w:pPr>
        <w:pStyle w:val="ListParagraph"/>
        <w:numPr>
          <w:ilvl w:val="0"/>
          <w:numId w:val="9"/>
        </w:numPr>
        <w:spacing w:before="240" w:after="240"/>
        <w:rPr>
          <w:rFonts w:ascii="Arial" w:hAnsi="Arial" w:cs="Arial"/>
          <w:sz w:val="24"/>
          <w:szCs w:val="24"/>
        </w:rPr>
      </w:pPr>
      <w:r w:rsidRPr="00D13737">
        <w:rPr>
          <w:rFonts w:ascii="Arial" w:eastAsia="Arial" w:hAnsi="Arial" w:cs="Arial"/>
          <w:b/>
          <w:bCs/>
          <w:sz w:val="24"/>
          <w:szCs w:val="24"/>
        </w:rPr>
        <w:t>Childhood Immunization Status (CIS10)</w:t>
      </w:r>
      <w:r w:rsidR="00BC625B" w:rsidRPr="00BC625B">
        <w:rPr>
          <w:rFonts w:ascii="Arial" w:hAnsi="Arial" w:cs="Arial"/>
          <w:color w:val="000000"/>
          <w:sz w:val="19"/>
          <w:szCs w:val="19"/>
          <w:bdr w:val="none" w:sz="0" w:space="0" w:color="auto" w:frame="1"/>
          <w:vertAlign w:val="superscript"/>
        </w:rPr>
        <w:t xml:space="preserve"> </w:t>
      </w:r>
      <w:r w:rsidR="00BC625B" w:rsidRPr="00BC625B">
        <w:rPr>
          <w:rFonts w:ascii="Arial" w:eastAsia="Arial" w:hAnsi="Arial" w:cs="Arial"/>
          <w:b/>
          <w:bCs/>
          <w:sz w:val="24"/>
          <w:szCs w:val="24"/>
          <w:vertAlign w:val="superscript"/>
        </w:rPr>
        <w:t>©</w:t>
      </w:r>
      <w:r>
        <w:br/>
      </w:r>
      <w:r w:rsidR="00D13737" w:rsidRPr="00D13737">
        <w:rPr>
          <w:rFonts w:ascii="Arial" w:eastAsia="Arial" w:hAnsi="Arial" w:cs="Arial"/>
          <w:sz w:val="24"/>
          <w:szCs w:val="24"/>
        </w:rPr>
        <w:t>CMS QRS has confirmed the transition of the Childhood Immunization Status (CIS) measure to the ECDS (Electronic Clinical Data Systems) reporting method beginning in MY2025. However, for QTI assessment, Covered California will continue to use the MY2024 HEDIS® for QRS</w:t>
      </w:r>
      <w:r w:rsidR="00F10990">
        <w:rPr>
          <w:rFonts w:ascii="Arial" w:eastAsia="Arial" w:hAnsi="Arial" w:cs="Arial"/>
          <w:sz w:val="24"/>
          <w:szCs w:val="24"/>
          <w:vertAlign w:val="superscript"/>
        </w:rPr>
        <w:t>7</w:t>
      </w:r>
      <w:r w:rsidR="00D13737" w:rsidRPr="00D13737">
        <w:rPr>
          <w:rFonts w:ascii="Arial" w:eastAsia="Arial" w:hAnsi="Arial" w:cs="Arial"/>
          <w:sz w:val="24"/>
          <w:szCs w:val="24"/>
        </w:rPr>
        <w:t xml:space="preserve"> specifications and will apply the MY2022</w:t>
      </w:r>
      <w:r w:rsidR="00B43145">
        <w:rPr>
          <w:rFonts w:ascii="Arial" w:eastAsia="Arial" w:hAnsi="Arial" w:cs="Arial"/>
          <w:sz w:val="24"/>
          <w:szCs w:val="24"/>
        </w:rPr>
        <w:t xml:space="preserve"> static</w:t>
      </w:r>
      <w:r w:rsidR="00D13737" w:rsidRPr="00D13737">
        <w:rPr>
          <w:rFonts w:ascii="Arial" w:eastAsia="Arial" w:hAnsi="Arial" w:cs="Arial"/>
          <w:sz w:val="24"/>
          <w:szCs w:val="24"/>
        </w:rPr>
        <w:t xml:space="preserve"> benchmark for scoring.</w:t>
      </w:r>
      <w:r w:rsidR="001B44AF">
        <w:rPr>
          <w:rFonts w:ascii="Arial" w:eastAsia="Arial" w:hAnsi="Arial" w:cs="Arial"/>
          <w:sz w:val="24"/>
          <w:szCs w:val="24"/>
        </w:rPr>
        <w:t xml:space="preserve"> Please note that QTI scoring may differ from CMS QRS calculations. </w:t>
      </w:r>
      <w:r w:rsidR="00B43145" w:rsidRPr="00B43145">
        <w:rPr>
          <w:rFonts w:ascii="Arial" w:eastAsia="Arial" w:hAnsi="Arial" w:cs="Arial"/>
          <w:sz w:val="24"/>
          <w:szCs w:val="24"/>
        </w:rPr>
        <w:t>Issuers must submit CIS10 data as part of their QTI PLD file submission.</w:t>
      </w:r>
    </w:p>
    <w:p w14:paraId="1867EDE3" w14:textId="44E66AE1" w:rsidR="00B43145" w:rsidRPr="00B43145" w:rsidRDefault="00B43145" w:rsidP="3B0C1352">
      <w:pPr>
        <w:spacing w:before="240" w:after="240" w:line="240" w:lineRule="auto"/>
        <w:contextualSpacing/>
        <w:rPr>
          <w:rFonts w:ascii="Arial" w:eastAsia="Arial" w:hAnsi="Arial" w:cs="Arial"/>
          <w:b/>
          <w:bCs/>
          <w:sz w:val="28"/>
          <w:szCs w:val="28"/>
        </w:rPr>
      </w:pPr>
      <w:r w:rsidRPr="00B43145">
        <w:rPr>
          <w:rFonts w:ascii="Arial" w:eastAsia="Arial" w:hAnsi="Arial" w:cs="Arial"/>
          <w:b/>
          <w:bCs/>
          <w:sz w:val="28"/>
          <w:szCs w:val="28"/>
        </w:rPr>
        <w:t>QTI PLD Submission Timeline</w:t>
      </w:r>
    </w:p>
    <w:p w14:paraId="30996813" w14:textId="77777777" w:rsidR="00B43145" w:rsidRDefault="00B43145" w:rsidP="3B0C1352">
      <w:pPr>
        <w:spacing w:before="240" w:after="240" w:line="240" w:lineRule="auto"/>
        <w:contextualSpacing/>
        <w:rPr>
          <w:rFonts w:ascii="Arial" w:eastAsia="Arial" w:hAnsi="Arial" w:cs="Arial"/>
          <w:sz w:val="24"/>
          <w:szCs w:val="24"/>
        </w:rPr>
      </w:pPr>
    </w:p>
    <w:p w14:paraId="73807014" w14:textId="253C6127" w:rsidR="002E774C" w:rsidRDefault="3F4692D0" w:rsidP="3B0C1352">
      <w:pPr>
        <w:spacing w:before="240" w:after="240" w:line="240" w:lineRule="auto"/>
        <w:contextualSpacing/>
      </w:pPr>
      <w:r w:rsidRPr="3B0C1352">
        <w:rPr>
          <w:rFonts w:ascii="Arial" w:eastAsia="Arial" w:hAnsi="Arial" w:cs="Arial"/>
          <w:sz w:val="24"/>
          <w:szCs w:val="24"/>
        </w:rPr>
        <w:t xml:space="preserve">Issuers must submit QTI PLD files by </w:t>
      </w:r>
      <w:r w:rsidRPr="3B0C1352">
        <w:rPr>
          <w:rFonts w:ascii="Arial" w:eastAsia="Arial" w:hAnsi="Arial" w:cs="Arial"/>
          <w:b/>
          <w:bCs/>
          <w:sz w:val="24"/>
          <w:szCs w:val="24"/>
        </w:rPr>
        <w:t>June 30, 2026</w:t>
      </w:r>
      <w:r w:rsidRPr="3B0C1352">
        <w:rPr>
          <w:rFonts w:ascii="Arial" w:eastAsia="Arial" w:hAnsi="Arial" w:cs="Arial"/>
          <w:sz w:val="24"/>
          <w:szCs w:val="24"/>
        </w:rPr>
        <w:t>, including patient-level data for:</w:t>
      </w:r>
    </w:p>
    <w:p w14:paraId="12AC9A06" w14:textId="7814163F" w:rsidR="002E774C" w:rsidRPr="00B43145" w:rsidRDefault="3F4692D0" w:rsidP="3B0C1352">
      <w:pPr>
        <w:pStyle w:val="ListParagraph"/>
        <w:numPr>
          <w:ilvl w:val="0"/>
          <w:numId w:val="2"/>
        </w:numPr>
        <w:spacing w:before="240" w:after="240" w:line="240" w:lineRule="auto"/>
        <w:rPr>
          <w:rFonts w:ascii="Arial" w:eastAsia="Arial" w:hAnsi="Arial" w:cs="Arial"/>
          <w:sz w:val="24"/>
          <w:szCs w:val="24"/>
        </w:rPr>
      </w:pPr>
      <w:r w:rsidRPr="00B43145">
        <w:rPr>
          <w:rFonts w:ascii="Arial" w:eastAsia="Arial" w:hAnsi="Arial" w:cs="Arial"/>
          <w:sz w:val="24"/>
          <w:szCs w:val="24"/>
        </w:rPr>
        <w:t>Controlling High Blood Pressure (CBP) – CBE ID #0018</w:t>
      </w:r>
    </w:p>
    <w:p w14:paraId="35919D7C" w14:textId="1FF9E85B" w:rsidR="002E774C" w:rsidRPr="00B43145" w:rsidRDefault="3F4692D0" w:rsidP="3B0C1352">
      <w:pPr>
        <w:pStyle w:val="ListParagraph"/>
        <w:numPr>
          <w:ilvl w:val="0"/>
          <w:numId w:val="2"/>
        </w:numPr>
        <w:spacing w:before="240" w:after="240" w:line="240" w:lineRule="auto"/>
        <w:rPr>
          <w:rFonts w:ascii="Arial" w:eastAsia="Arial" w:hAnsi="Arial" w:cs="Arial"/>
          <w:sz w:val="24"/>
          <w:szCs w:val="24"/>
        </w:rPr>
      </w:pPr>
      <w:r w:rsidRPr="00B43145">
        <w:rPr>
          <w:rFonts w:ascii="Arial" w:eastAsia="Arial" w:hAnsi="Arial" w:cs="Arial"/>
          <w:sz w:val="24"/>
          <w:szCs w:val="24"/>
        </w:rPr>
        <w:t>Glycemic Status Assessment (GSD &lt;8.0%) – CBE ID #0575</w:t>
      </w:r>
    </w:p>
    <w:p w14:paraId="1DF4904E" w14:textId="7900AC40" w:rsidR="002E774C" w:rsidRPr="00B43145" w:rsidRDefault="3F4692D0" w:rsidP="3B0C1352">
      <w:pPr>
        <w:pStyle w:val="ListParagraph"/>
        <w:numPr>
          <w:ilvl w:val="0"/>
          <w:numId w:val="2"/>
        </w:numPr>
        <w:spacing w:before="240" w:after="240" w:line="240" w:lineRule="auto"/>
        <w:rPr>
          <w:rFonts w:ascii="Arial" w:eastAsia="Arial" w:hAnsi="Arial" w:cs="Arial"/>
          <w:sz w:val="24"/>
          <w:szCs w:val="24"/>
        </w:rPr>
      </w:pPr>
      <w:r w:rsidRPr="00B43145">
        <w:rPr>
          <w:rFonts w:ascii="Arial" w:eastAsia="Arial" w:hAnsi="Arial" w:cs="Arial"/>
          <w:sz w:val="24"/>
          <w:szCs w:val="24"/>
        </w:rPr>
        <w:t>Colorectal Cancer Screening (COL) – NQF #0034</w:t>
      </w:r>
    </w:p>
    <w:p w14:paraId="30974D0A" w14:textId="6A420ADB" w:rsidR="002E774C" w:rsidRPr="00B43145" w:rsidRDefault="3F4692D0" w:rsidP="3B0C1352">
      <w:pPr>
        <w:pStyle w:val="ListParagraph"/>
        <w:numPr>
          <w:ilvl w:val="0"/>
          <w:numId w:val="2"/>
        </w:numPr>
        <w:spacing w:before="240" w:after="240" w:line="240" w:lineRule="auto"/>
        <w:rPr>
          <w:rFonts w:ascii="Arial" w:eastAsia="Arial" w:hAnsi="Arial" w:cs="Arial"/>
          <w:sz w:val="24"/>
          <w:szCs w:val="24"/>
        </w:rPr>
      </w:pPr>
      <w:r w:rsidRPr="00B43145">
        <w:rPr>
          <w:rFonts w:ascii="Arial" w:eastAsia="Arial" w:hAnsi="Arial" w:cs="Arial"/>
          <w:sz w:val="24"/>
          <w:szCs w:val="24"/>
        </w:rPr>
        <w:t>Childhood Immunization Status (CIS10) – CBE ID #0038</w:t>
      </w:r>
    </w:p>
    <w:p w14:paraId="0A7D87D0" w14:textId="2B6328F1" w:rsidR="002E774C" w:rsidRPr="00324D4D" w:rsidRDefault="3F4692D0" w:rsidP="00324D4D">
      <w:pPr>
        <w:spacing w:before="240" w:after="240" w:line="240" w:lineRule="auto"/>
        <w:contextualSpacing/>
      </w:pPr>
      <w:r w:rsidRPr="3B0C1352">
        <w:rPr>
          <w:rFonts w:ascii="Arial" w:eastAsia="Arial" w:hAnsi="Arial" w:cs="Arial"/>
          <w:sz w:val="24"/>
          <w:szCs w:val="24"/>
        </w:rPr>
        <w:t xml:space="preserve">All other </w:t>
      </w:r>
      <w:r w:rsidRPr="00324D4D">
        <w:rPr>
          <w:rFonts w:ascii="Arial" w:eastAsia="Arial" w:hAnsi="Arial" w:cs="Arial"/>
          <w:sz w:val="24"/>
          <w:szCs w:val="24"/>
        </w:rPr>
        <w:t>MY2025 PLD measures outlined in Article 1 must be submitted separately by July 15, 2026.</w:t>
      </w:r>
    </w:p>
    <w:p w14:paraId="413977A8" w14:textId="77777777" w:rsidR="005A45C3" w:rsidRDefault="005A45C3" w:rsidP="3793D51F">
      <w:pPr>
        <w:spacing w:after="0" w:line="240" w:lineRule="auto"/>
        <w:contextualSpacing/>
        <w:rPr>
          <w:rFonts w:ascii="Arial" w:hAnsi="Arial" w:cs="Arial"/>
          <w:sz w:val="24"/>
          <w:szCs w:val="24"/>
        </w:rPr>
      </w:pPr>
    </w:p>
    <w:p w14:paraId="4ED2E1B6" w14:textId="7C2458C8" w:rsidR="000118E2" w:rsidRPr="00430148" w:rsidRDefault="705A8107" w:rsidP="00430148">
      <w:pPr>
        <w:spacing w:after="0" w:line="240" w:lineRule="auto"/>
        <w:ind w:left="1440" w:hanging="1440"/>
        <w:contextualSpacing/>
        <w:rPr>
          <w:rFonts w:ascii="Arial" w:hAnsi="Arial" w:cs="Arial"/>
          <w:b/>
          <w:bCs/>
          <w:color w:val="000000" w:themeColor="text1"/>
          <w:sz w:val="28"/>
          <w:szCs w:val="28"/>
        </w:rPr>
      </w:pPr>
      <w:r w:rsidRPr="4E5B703A">
        <w:rPr>
          <w:rFonts w:ascii="Arial" w:hAnsi="Arial" w:cs="Arial"/>
          <w:b/>
          <w:bCs/>
          <w:color w:val="000000" w:themeColor="text1"/>
          <w:sz w:val="28"/>
          <w:szCs w:val="28"/>
        </w:rPr>
        <w:t>Continuation of the CIS10 Allowance Program for MY2025</w:t>
      </w:r>
    </w:p>
    <w:p w14:paraId="4AE1099C" w14:textId="68059AF6" w:rsidR="705A8107" w:rsidRPr="00B43145" w:rsidRDefault="705A8107" w:rsidP="3B0C1352">
      <w:pPr>
        <w:spacing w:before="240" w:after="240"/>
      </w:pPr>
      <w:r w:rsidRPr="3B0C1352">
        <w:rPr>
          <w:rFonts w:ascii="Arial" w:eastAsia="Arial" w:hAnsi="Arial" w:cs="Arial"/>
          <w:sz w:val="24"/>
          <w:szCs w:val="24"/>
        </w:rPr>
        <w:t xml:space="preserve">Covered California will continue the </w:t>
      </w:r>
      <w:r w:rsidRPr="00B43145">
        <w:rPr>
          <w:rFonts w:ascii="Arial" w:eastAsia="Arial" w:hAnsi="Arial" w:cs="Arial"/>
          <w:sz w:val="24"/>
          <w:szCs w:val="24"/>
        </w:rPr>
        <w:t>Childhood Immunization Status Combo 10 (CIS10) Allowance Program for MY2025 with no changes to parameters from MY2024.</w:t>
      </w:r>
    </w:p>
    <w:p w14:paraId="6458B87F" w14:textId="761A2093" w:rsidR="006809E1" w:rsidRDefault="52A3065C" w:rsidP="3B0C1352">
      <w:pPr>
        <w:spacing w:before="240" w:after="240"/>
        <w:rPr>
          <w:rFonts w:ascii="Arial" w:eastAsia="Arial" w:hAnsi="Arial" w:cs="Arial"/>
          <w:sz w:val="24"/>
          <w:szCs w:val="24"/>
        </w:rPr>
      </w:pPr>
      <w:r w:rsidRPr="7D43FAA7">
        <w:rPr>
          <w:rFonts w:ascii="Arial" w:eastAsia="Arial" w:hAnsi="Arial" w:cs="Arial"/>
          <w:sz w:val="24"/>
          <w:szCs w:val="24"/>
        </w:rPr>
        <w:t xml:space="preserve">The CIS10 Allowance Program was developed based on clinically appropriate and evidence-based </w:t>
      </w:r>
      <w:r w:rsidR="00CC111B" w:rsidRPr="7D43FAA7">
        <w:rPr>
          <w:rFonts w:ascii="Arial" w:eastAsia="Arial" w:hAnsi="Arial" w:cs="Arial"/>
          <w:sz w:val="24"/>
          <w:szCs w:val="24"/>
        </w:rPr>
        <w:t>immunization</w:t>
      </w:r>
      <w:r w:rsidRPr="7D43FAA7">
        <w:rPr>
          <w:rFonts w:ascii="Arial" w:eastAsia="Arial" w:hAnsi="Arial" w:cs="Arial"/>
          <w:sz w:val="24"/>
          <w:szCs w:val="24"/>
        </w:rPr>
        <w:t xml:space="preserve"> recommendations, including </w:t>
      </w:r>
      <w:r w:rsidR="00CC111B" w:rsidRPr="7D43FAA7">
        <w:rPr>
          <w:rFonts w:ascii="Arial" w:eastAsia="Arial" w:hAnsi="Arial" w:cs="Arial"/>
          <w:sz w:val="24"/>
          <w:szCs w:val="24"/>
        </w:rPr>
        <w:t>immunization</w:t>
      </w:r>
      <w:r w:rsidRPr="7D43FAA7">
        <w:rPr>
          <w:rFonts w:ascii="Arial" w:eastAsia="Arial" w:hAnsi="Arial" w:cs="Arial"/>
          <w:sz w:val="24"/>
          <w:szCs w:val="24"/>
        </w:rPr>
        <w:t xml:space="preserve"> catch-up schedules. </w:t>
      </w:r>
      <w:r w:rsidR="006809E1" w:rsidRPr="7D43FAA7">
        <w:rPr>
          <w:rFonts w:ascii="Arial" w:eastAsia="Arial" w:hAnsi="Arial" w:cs="Arial"/>
          <w:sz w:val="24"/>
          <w:szCs w:val="24"/>
        </w:rPr>
        <w:t xml:space="preserve">The program allows QHP issuers to submit supplemental data for any denominator-eligible child who has completed the full CIS10 </w:t>
      </w:r>
      <w:r w:rsidR="003B7B6B" w:rsidRPr="7D43FAA7">
        <w:rPr>
          <w:rFonts w:ascii="Arial" w:eastAsia="Arial" w:hAnsi="Arial" w:cs="Arial"/>
          <w:sz w:val="24"/>
          <w:szCs w:val="24"/>
        </w:rPr>
        <w:t xml:space="preserve">immunization </w:t>
      </w:r>
      <w:r w:rsidR="006809E1" w:rsidRPr="7D43FAA7">
        <w:rPr>
          <w:rFonts w:ascii="Arial" w:eastAsia="Arial" w:hAnsi="Arial" w:cs="Arial"/>
          <w:sz w:val="24"/>
          <w:szCs w:val="24"/>
        </w:rPr>
        <w:t>series, including cases where one or more vaccines were administered within 180 days after the child’s second birthday.</w:t>
      </w:r>
    </w:p>
    <w:p w14:paraId="391A7C91" w14:textId="1F78476C" w:rsidR="705A8107" w:rsidRDefault="705A8107" w:rsidP="3B0C1352">
      <w:pPr>
        <w:spacing w:before="240" w:after="240"/>
      </w:pPr>
      <w:r w:rsidRPr="3B0C1352">
        <w:rPr>
          <w:rFonts w:ascii="Arial" w:eastAsia="Arial" w:hAnsi="Arial" w:cs="Arial"/>
          <w:b/>
          <w:bCs/>
          <w:sz w:val="24"/>
          <w:szCs w:val="24"/>
        </w:rPr>
        <w:lastRenderedPageBreak/>
        <w:t>Key Allowance Parameters:</w:t>
      </w:r>
    </w:p>
    <w:p w14:paraId="6B7E67DA" w14:textId="1684D98C" w:rsidR="705A8107" w:rsidRPr="00430148" w:rsidRDefault="705A8107" w:rsidP="3B0C1352">
      <w:pPr>
        <w:pStyle w:val="ListParagraph"/>
        <w:numPr>
          <w:ilvl w:val="0"/>
          <w:numId w:val="1"/>
        </w:numPr>
        <w:spacing w:before="240" w:after="240"/>
        <w:rPr>
          <w:rFonts w:ascii="Arial" w:eastAsia="Arial" w:hAnsi="Arial" w:cs="Arial"/>
          <w:sz w:val="24"/>
          <w:szCs w:val="24"/>
        </w:rPr>
      </w:pPr>
      <w:r w:rsidRPr="7D43FAA7">
        <w:rPr>
          <w:rFonts w:ascii="Arial" w:eastAsia="Arial" w:hAnsi="Arial" w:cs="Arial"/>
          <w:sz w:val="24"/>
          <w:szCs w:val="24"/>
        </w:rPr>
        <w:t xml:space="preserve">Extended Administration Window: </w:t>
      </w:r>
      <w:r w:rsidR="00130B28" w:rsidRPr="7D43FAA7">
        <w:rPr>
          <w:rFonts w:ascii="Arial" w:eastAsia="Arial" w:hAnsi="Arial" w:cs="Arial"/>
          <w:sz w:val="24"/>
          <w:szCs w:val="24"/>
        </w:rPr>
        <w:t xml:space="preserve">Immunizations </w:t>
      </w:r>
      <w:r w:rsidRPr="7D43FAA7">
        <w:rPr>
          <w:rFonts w:ascii="Arial" w:eastAsia="Arial" w:hAnsi="Arial" w:cs="Arial"/>
          <w:sz w:val="24"/>
          <w:szCs w:val="24"/>
        </w:rPr>
        <w:t>must be administered up to 180 days after the child’s second birthday to qualify.</w:t>
      </w:r>
    </w:p>
    <w:p w14:paraId="2DF7268C" w14:textId="4E84AE4B" w:rsidR="705A8107" w:rsidRPr="00430148" w:rsidRDefault="705A8107" w:rsidP="3B0C1352">
      <w:pPr>
        <w:pStyle w:val="ListParagraph"/>
        <w:numPr>
          <w:ilvl w:val="0"/>
          <w:numId w:val="1"/>
        </w:numPr>
        <w:spacing w:before="240" w:after="240"/>
        <w:rPr>
          <w:rFonts w:ascii="Arial" w:eastAsia="Arial" w:hAnsi="Arial" w:cs="Arial"/>
          <w:sz w:val="24"/>
          <w:szCs w:val="24"/>
        </w:rPr>
      </w:pPr>
      <w:r w:rsidRPr="00430148">
        <w:rPr>
          <w:rFonts w:ascii="Arial" w:eastAsia="Arial" w:hAnsi="Arial" w:cs="Arial"/>
          <w:sz w:val="24"/>
          <w:szCs w:val="24"/>
        </w:rPr>
        <w:t>Rotavirus Vaccine Exception:</w:t>
      </w:r>
    </w:p>
    <w:p w14:paraId="26918A14" w14:textId="40B0F409" w:rsidR="705A8107" w:rsidRPr="00430148" w:rsidRDefault="705A8107" w:rsidP="3B0C1352">
      <w:pPr>
        <w:pStyle w:val="ListParagraph"/>
        <w:numPr>
          <w:ilvl w:val="1"/>
          <w:numId w:val="1"/>
        </w:numPr>
        <w:spacing w:before="240" w:after="240"/>
        <w:rPr>
          <w:rFonts w:ascii="Arial" w:eastAsia="Arial" w:hAnsi="Arial" w:cs="Arial"/>
          <w:sz w:val="24"/>
          <w:szCs w:val="24"/>
        </w:rPr>
      </w:pPr>
      <w:r w:rsidRPr="00430148">
        <w:rPr>
          <w:rFonts w:ascii="Arial" w:eastAsia="Arial" w:hAnsi="Arial" w:cs="Arial"/>
          <w:sz w:val="24"/>
          <w:szCs w:val="24"/>
        </w:rPr>
        <w:t>Dose 1 must be administered by 15 weeks of age</w:t>
      </w:r>
    </w:p>
    <w:p w14:paraId="2D2E4DD5" w14:textId="07124A8C" w:rsidR="705A8107" w:rsidRPr="00430148" w:rsidRDefault="705A8107" w:rsidP="3B0C1352">
      <w:pPr>
        <w:pStyle w:val="ListParagraph"/>
        <w:numPr>
          <w:ilvl w:val="1"/>
          <w:numId w:val="1"/>
        </w:numPr>
        <w:spacing w:before="240" w:after="240"/>
        <w:rPr>
          <w:rFonts w:ascii="Arial" w:eastAsia="Arial" w:hAnsi="Arial" w:cs="Arial"/>
          <w:sz w:val="24"/>
          <w:szCs w:val="24"/>
        </w:rPr>
      </w:pPr>
      <w:r w:rsidRPr="00430148">
        <w:rPr>
          <w:rFonts w:ascii="Arial" w:eastAsia="Arial" w:hAnsi="Arial" w:cs="Arial"/>
          <w:sz w:val="24"/>
          <w:szCs w:val="24"/>
        </w:rPr>
        <w:t>Final dose (either 2nd or 3rd) must be administered by 8 months of age</w:t>
      </w:r>
    </w:p>
    <w:p w14:paraId="37EC1AC2" w14:textId="6B297D65" w:rsidR="705A8107" w:rsidRPr="00430148" w:rsidRDefault="705A8107" w:rsidP="3B0C1352">
      <w:pPr>
        <w:pStyle w:val="ListParagraph"/>
        <w:numPr>
          <w:ilvl w:val="0"/>
          <w:numId w:val="1"/>
        </w:numPr>
        <w:spacing w:before="240" w:after="240"/>
        <w:rPr>
          <w:rFonts w:ascii="Arial" w:eastAsia="Arial" w:hAnsi="Arial" w:cs="Arial"/>
          <w:sz w:val="24"/>
          <w:szCs w:val="24"/>
        </w:rPr>
      </w:pPr>
      <w:r w:rsidRPr="00430148">
        <w:rPr>
          <w:rFonts w:ascii="Arial" w:eastAsia="Arial" w:hAnsi="Arial" w:cs="Arial"/>
          <w:sz w:val="24"/>
          <w:szCs w:val="24"/>
        </w:rPr>
        <w:t>Audit Provisions: All supplemental data remain subject to audit.</w:t>
      </w:r>
    </w:p>
    <w:p w14:paraId="74F52170" w14:textId="070747AF" w:rsidR="705A8107" w:rsidRPr="00430148" w:rsidRDefault="705A8107" w:rsidP="3B0C1352">
      <w:pPr>
        <w:pStyle w:val="ListParagraph"/>
        <w:numPr>
          <w:ilvl w:val="0"/>
          <w:numId w:val="1"/>
        </w:numPr>
        <w:spacing w:before="240" w:after="240"/>
        <w:rPr>
          <w:rFonts w:ascii="Arial" w:eastAsia="Arial" w:hAnsi="Arial" w:cs="Arial"/>
          <w:sz w:val="24"/>
          <w:szCs w:val="24"/>
        </w:rPr>
      </w:pPr>
      <w:r w:rsidRPr="7D43FAA7">
        <w:rPr>
          <w:rFonts w:ascii="Arial" w:eastAsia="Arial" w:hAnsi="Arial" w:cs="Arial"/>
          <w:sz w:val="24"/>
          <w:szCs w:val="24"/>
        </w:rPr>
        <w:t xml:space="preserve">Applicable Dates of Service: </w:t>
      </w:r>
      <w:r w:rsidR="00130B28" w:rsidRPr="7D43FAA7">
        <w:rPr>
          <w:rFonts w:ascii="Arial" w:eastAsia="Arial" w:hAnsi="Arial" w:cs="Arial"/>
          <w:sz w:val="24"/>
          <w:szCs w:val="24"/>
        </w:rPr>
        <w:t xml:space="preserve">Immunizations </w:t>
      </w:r>
      <w:r w:rsidRPr="7D43FAA7">
        <w:rPr>
          <w:rFonts w:ascii="Arial" w:eastAsia="Arial" w:hAnsi="Arial" w:cs="Arial"/>
          <w:sz w:val="24"/>
          <w:szCs w:val="24"/>
        </w:rPr>
        <w:t xml:space="preserve">administered between January 1, 2023, and June </w:t>
      </w:r>
      <w:r w:rsidR="006A6CEC" w:rsidRPr="7D43FAA7">
        <w:rPr>
          <w:rFonts w:ascii="Arial" w:eastAsia="Arial" w:hAnsi="Arial" w:cs="Arial"/>
          <w:sz w:val="24"/>
          <w:szCs w:val="24"/>
        </w:rPr>
        <w:t>29</w:t>
      </w:r>
      <w:r w:rsidRPr="7D43FAA7">
        <w:rPr>
          <w:rFonts w:ascii="Arial" w:eastAsia="Arial" w:hAnsi="Arial" w:cs="Arial"/>
          <w:sz w:val="24"/>
          <w:szCs w:val="24"/>
        </w:rPr>
        <w:t>, 2026 qualify under the 180-day extension allowance.</w:t>
      </w:r>
    </w:p>
    <w:p w14:paraId="3CD4B7CF" w14:textId="20EE6C6F" w:rsidR="004B3A55" w:rsidRDefault="705A8107" w:rsidP="004B3A55">
      <w:pPr>
        <w:spacing w:before="240" w:after="240"/>
        <w:rPr>
          <w:rFonts w:ascii="Arial" w:eastAsia="Arial" w:hAnsi="Arial" w:cs="Arial"/>
          <w:sz w:val="24"/>
          <w:szCs w:val="24"/>
        </w:rPr>
      </w:pPr>
      <w:r w:rsidRPr="3B0C1352">
        <w:rPr>
          <w:rFonts w:ascii="Arial" w:eastAsia="Arial" w:hAnsi="Arial" w:cs="Arial"/>
          <w:b/>
          <w:bCs/>
          <w:sz w:val="24"/>
          <w:szCs w:val="24"/>
        </w:rPr>
        <w:t>Submission Process:</w:t>
      </w:r>
      <w:r>
        <w:br/>
      </w:r>
      <w:r w:rsidRPr="3B0C1352">
        <w:rPr>
          <w:rFonts w:ascii="Arial" w:eastAsia="Arial" w:hAnsi="Arial" w:cs="Arial"/>
          <w:sz w:val="24"/>
          <w:szCs w:val="24"/>
        </w:rPr>
        <w:t xml:space="preserve">The submission process remains unchanged. Issuers participating in the CIS10 Allowance Program must complete and submit the CIS10 Allowance Program template via the secure extranet portal by </w:t>
      </w:r>
      <w:r w:rsidRPr="3B0C1352">
        <w:rPr>
          <w:rFonts w:ascii="Arial" w:eastAsia="Arial" w:hAnsi="Arial" w:cs="Arial"/>
          <w:b/>
          <w:bCs/>
          <w:sz w:val="24"/>
          <w:szCs w:val="24"/>
        </w:rPr>
        <w:t>June 30, 202</w:t>
      </w:r>
      <w:r w:rsidR="006A6CEC">
        <w:rPr>
          <w:rFonts w:ascii="Arial" w:eastAsia="Arial" w:hAnsi="Arial" w:cs="Arial"/>
          <w:b/>
          <w:bCs/>
          <w:sz w:val="24"/>
          <w:szCs w:val="24"/>
        </w:rPr>
        <w:t>6</w:t>
      </w:r>
      <w:r w:rsidRPr="3B0C1352">
        <w:rPr>
          <w:rFonts w:ascii="Arial" w:eastAsia="Arial" w:hAnsi="Arial" w:cs="Arial"/>
          <w:sz w:val="24"/>
          <w:szCs w:val="24"/>
        </w:rPr>
        <w:t>.</w:t>
      </w:r>
      <w:r w:rsidR="006A6CEC">
        <w:t xml:space="preserve"> </w:t>
      </w:r>
      <w:r w:rsidRPr="3B0C1352">
        <w:rPr>
          <w:rFonts w:ascii="Arial" w:eastAsia="Arial" w:hAnsi="Arial" w:cs="Arial"/>
          <w:sz w:val="24"/>
          <w:szCs w:val="24"/>
        </w:rPr>
        <w:t xml:space="preserve">Results from the CIS10 Allowance Program are </w:t>
      </w:r>
      <w:r w:rsidRPr="3B0C1352">
        <w:rPr>
          <w:rFonts w:ascii="Arial" w:eastAsia="Arial" w:hAnsi="Arial" w:cs="Arial"/>
          <w:b/>
          <w:bCs/>
          <w:sz w:val="24"/>
          <w:szCs w:val="24"/>
        </w:rPr>
        <w:t>used for QTI assessment purposes only</w:t>
      </w:r>
      <w:r w:rsidRPr="3B0C1352">
        <w:rPr>
          <w:rFonts w:ascii="Arial" w:eastAsia="Arial" w:hAnsi="Arial" w:cs="Arial"/>
          <w:sz w:val="24"/>
          <w:szCs w:val="24"/>
        </w:rPr>
        <w:t>.</w:t>
      </w:r>
    </w:p>
    <w:p w14:paraId="5FA0269A" w14:textId="77777777" w:rsidR="004B3A55" w:rsidRDefault="004B3A55">
      <w:pPr>
        <w:rPr>
          <w:rFonts w:ascii="Arial" w:eastAsia="Arial" w:hAnsi="Arial" w:cs="Arial"/>
          <w:sz w:val="24"/>
          <w:szCs w:val="24"/>
        </w:rPr>
      </w:pPr>
      <w:r>
        <w:rPr>
          <w:rFonts w:ascii="Arial" w:eastAsia="Arial" w:hAnsi="Arial" w:cs="Arial"/>
          <w:sz w:val="24"/>
          <w:szCs w:val="24"/>
        </w:rPr>
        <w:br w:type="page"/>
      </w:r>
    </w:p>
    <w:p w14:paraId="57C39BCC" w14:textId="5E6B90D5" w:rsidR="00B97178" w:rsidRPr="004B3A55" w:rsidRDefault="00DB3670" w:rsidP="004B3A55">
      <w:pPr>
        <w:rPr>
          <w:rFonts w:ascii="Arial" w:eastAsia="Arial" w:hAnsi="Arial" w:cs="Arial"/>
          <w:sz w:val="24"/>
          <w:szCs w:val="24"/>
        </w:rPr>
      </w:pPr>
      <w:r w:rsidRPr="7D43FAA7">
        <w:rPr>
          <w:rFonts w:ascii="Arial" w:hAnsi="Arial" w:cs="Arial"/>
          <w:b/>
          <w:bCs/>
          <w:color w:val="000000" w:themeColor="text1"/>
          <w:sz w:val="24"/>
          <w:szCs w:val="24"/>
        </w:rPr>
        <w:lastRenderedPageBreak/>
        <w:t>References</w:t>
      </w:r>
      <w:r w:rsidR="00B97178" w:rsidRPr="7D43FAA7">
        <w:rPr>
          <w:rFonts w:ascii="Arial" w:hAnsi="Arial" w:cs="Arial"/>
          <w:b/>
          <w:bCs/>
          <w:color w:val="000000" w:themeColor="text1"/>
          <w:sz w:val="24"/>
          <w:szCs w:val="24"/>
        </w:rPr>
        <w:t>: </w:t>
      </w:r>
    </w:p>
    <w:p w14:paraId="62B35992" w14:textId="0152A555" w:rsidR="15898A97" w:rsidRDefault="003614CB" w:rsidP="0899087F">
      <w:pPr>
        <w:rPr>
          <w:rFonts w:ascii="Arial" w:eastAsia="Arial" w:hAnsi="Arial" w:cs="Arial"/>
          <w:sz w:val="24"/>
          <w:szCs w:val="24"/>
        </w:rPr>
      </w:pPr>
      <w:r w:rsidRPr="7D43FAA7">
        <w:rPr>
          <w:rFonts w:ascii="Arial" w:eastAsia="Arial" w:hAnsi="Arial" w:cs="Arial"/>
          <w:sz w:val="24"/>
          <w:szCs w:val="24"/>
          <w:vertAlign w:val="superscript"/>
        </w:rPr>
        <w:t>1</w:t>
      </w:r>
      <w:r w:rsidR="317A89AD" w:rsidRPr="7D43FAA7">
        <w:rPr>
          <w:rFonts w:ascii="Arial" w:eastAsia="Arial" w:hAnsi="Arial" w:cs="Arial"/>
          <w:sz w:val="24"/>
          <w:szCs w:val="24"/>
        </w:rPr>
        <w:t xml:space="preserve">2025 Plan Year Amendment to the Covered California Qualified Health Plan Issuer Contract for 2023-2025 for the Individual Market </w:t>
      </w:r>
      <w:hyperlink r:id="rId10">
        <w:r w:rsidR="317A89AD" w:rsidRPr="7D43FAA7">
          <w:rPr>
            <w:rStyle w:val="Hyperlink"/>
            <w:rFonts w:ascii="Arial" w:eastAsia="Arial" w:hAnsi="Arial" w:cs="Arial"/>
            <w:sz w:val="24"/>
            <w:szCs w:val="24"/>
          </w:rPr>
          <w:t>2025-Amend_QHP-IND_Contract_8-1-24_Clean-Final.pdf</w:t>
        </w:r>
      </w:hyperlink>
    </w:p>
    <w:p w14:paraId="0A21B19F" w14:textId="35F76BC6" w:rsidR="00C718BD" w:rsidRDefault="003614CB" w:rsidP="7D43FAA7">
      <w:pPr>
        <w:spacing w:after="0" w:line="240" w:lineRule="auto"/>
        <w:contextualSpacing/>
        <w:rPr>
          <w:rFonts w:ascii="Arial" w:eastAsia="Arial" w:hAnsi="Arial" w:cs="Arial"/>
          <w:sz w:val="24"/>
          <w:szCs w:val="24"/>
        </w:rPr>
      </w:pPr>
      <w:r w:rsidRPr="7D43FAA7">
        <w:rPr>
          <w:rFonts w:ascii="Arial" w:eastAsia="Arial" w:hAnsi="Arial" w:cs="Arial"/>
          <w:sz w:val="24"/>
          <w:szCs w:val="24"/>
          <w:vertAlign w:val="superscript"/>
        </w:rPr>
        <w:t>2</w:t>
      </w:r>
      <w:r w:rsidR="317A89AD" w:rsidRPr="7D43FAA7">
        <w:rPr>
          <w:rFonts w:ascii="Arial" w:eastAsia="Arial" w:hAnsi="Arial" w:cs="Arial"/>
          <w:sz w:val="24"/>
          <w:szCs w:val="24"/>
        </w:rPr>
        <w:t xml:space="preserve">Attachment 4 to Covered California 2023-2025 Individual Market QHP Issuer Contract: Quality Transformation Initiative </w:t>
      </w:r>
      <w:hyperlink r:id="rId11">
        <w:r w:rsidR="317A89AD" w:rsidRPr="7D43FAA7">
          <w:rPr>
            <w:rStyle w:val="Hyperlink"/>
            <w:rFonts w:ascii="Arial" w:eastAsia="Arial" w:hAnsi="Arial" w:cs="Arial"/>
            <w:sz w:val="24"/>
            <w:szCs w:val="24"/>
          </w:rPr>
          <w:t>2025-Amend_QHP-IND_Att-4_8-1-24_Clean-Final.pdf</w:t>
        </w:r>
      </w:hyperlink>
    </w:p>
    <w:p w14:paraId="0B4551F6" w14:textId="288DCBAD" w:rsidR="0899087F" w:rsidRDefault="0899087F" w:rsidP="0899087F">
      <w:pPr>
        <w:spacing w:after="0" w:line="240" w:lineRule="auto"/>
        <w:ind w:left="1440" w:hanging="1440"/>
        <w:contextualSpacing/>
        <w:rPr>
          <w:rFonts w:ascii="Arial" w:hAnsi="Arial" w:cs="Arial"/>
          <w:b/>
          <w:bCs/>
          <w:color w:val="000000" w:themeColor="text1"/>
          <w:sz w:val="24"/>
          <w:szCs w:val="24"/>
        </w:rPr>
      </w:pPr>
    </w:p>
    <w:p w14:paraId="4477F180" w14:textId="089E5052" w:rsidR="00C718BD" w:rsidRPr="007E48BA" w:rsidRDefault="003614CB" w:rsidP="00C718BD">
      <w:pPr>
        <w:spacing w:after="0" w:line="240" w:lineRule="auto"/>
        <w:ind w:left="1440" w:hanging="1440"/>
        <w:contextualSpacing/>
        <w:rPr>
          <w:rFonts w:ascii="Arial" w:hAnsi="Arial" w:cs="Arial"/>
          <w:color w:val="000000" w:themeColor="text1"/>
          <w:sz w:val="24"/>
          <w:szCs w:val="24"/>
        </w:rPr>
      </w:pPr>
      <w:r w:rsidRPr="7D43FAA7">
        <w:rPr>
          <w:rFonts w:ascii="Arial" w:hAnsi="Arial" w:cs="Arial"/>
          <w:color w:val="000000" w:themeColor="text1"/>
          <w:sz w:val="24"/>
          <w:szCs w:val="24"/>
          <w:vertAlign w:val="superscript"/>
        </w:rPr>
        <w:t>3</w:t>
      </w:r>
      <w:hyperlink r:id="rId12">
        <w:r w:rsidR="00C718BD" w:rsidRPr="7D43FAA7">
          <w:rPr>
            <w:rStyle w:val="Hyperlink"/>
            <w:rFonts w:ascii="Arial" w:hAnsi="Arial" w:cs="Arial"/>
            <w:sz w:val="24"/>
            <w:szCs w:val="24"/>
          </w:rPr>
          <w:t>MY 202</w:t>
        </w:r>
        <w:r w:rsidR="00606988" w:rsidRPr="7D43FAA7">
          <w:rPr>
            <w:rStyle w:val="Hyperlink"/>
            <w:rFonts w:ascii="Arial" w:hAnsi="Arial" w:cs="Arial"/>
            <w:sz w:val="24"/>
            <w:szCs w:val="24"/>
          </w:rPr>
          <w:t>5</w:t>
        </w:r>
        <w:r w:rsidR="00C718BD" w:rsidRPr="7D43FAA7">
          <w:rPr>
            <w:rStyle w:val="Hyperlink"/>
            <w:rFonts w:ascii="Arial" w:hAnsi="Arial" w:cs="Arial"/>
            <w:sz w:val="24"/>
            <w:szCs w:val="24"/>
          </w:rPr>
          <w:t xml:space="preserve"> HEDIS</w:t>
        </w:r>
        <w:r w:rsidR="00B75217" w:rsidRPr="7D43FAA7">
          <w:rPr>
            <w:rStyle w:val="Hyperlink"/>
            <w:rFonts w:ascii="Arial" w:hAnsi="Arial" w:cs="Arial"/>
            <w:sz w:val="24"/>
            <w:szCs w:val="24"/>
            <w:vertAlign w:val="superscript"/>
          </w:rPr>
          <w:t>®</w:t>
        </w:r>
        <w:r w:rsidR="00C718BD" w:rsidRPr="7D43FAA7">
          <w:rPr>
            <w:rStyle w:val="Hyperlink"/>
            <w:rFonts w:ascii="Arial" w:hAnsi="Arial" w:cs="Arial"/>
            <w:sz w:val="24"/>
            <w:szCs w:val="24"/>
          </w:rPr>
          <w:t xml:space="preserve"> for QRS </w:t>
        </w:r>
      </w:hyperlink>
      <w:r w:rsidR="00C718BD" w:rsidRPr="7D43FAA7">
        <w:rPr>
          <w:rFonts w:ascii="Arial" w:hAnsi="Arial" w:cs="Arial"/>
          <w:color w:val="000000" w:themeColor="text1"/>
          <w:sz w:val="24"/>
          <w:szCs w:val="24"/>
        </w:rPr>
        <w:t>(202</w:t>
      </w:r>
      <w:r w:rsidR="00771198" w:rsidRPr="7D43FAA7">
        <w:rPr>
          <w:rFonts w:ascii="Arial" w:hAnsi="Arial" w:cs="Arial"/>
          <w:color w:val="000000" w:themeColor="text1"/>
          <w:sz w:val="24"/>
          <w:szCs w:val="24"/>
        </w:rPr>
        <w:t>6</w:t>
      </w:r>
      <w:r w:rsidR="00C718BD" w:rsidRPr="7D43FAA7">
        <w:rPr>
          <w:rFonts w:ascii="Arial" w:hAnsi="Arial" w:cs="Arial"/>
          <w:color w:val="000000" w:themeColor="text1"/>
          <w:sz w:val="24"/>
          <w:szCs w:val="24"/>
        </w:rPr>
        <w:t xml:space="preserve"> Quality Ratings System Measure Technical Specifications)</w:t>
      </w:r>
    </w:p>
    <w:p w14:paraId="3B6FFDB4" w14:textId="77777777" w:rsidR="00B75217" w:rsidRPr="007E48BA" w:rsidRDefault="00B75217" w:rsidP="00B75217">
      <w:pPr>
        <w:spacing w:after="0" w:line="240" w:lineRule="auto"/>
        <w:ind w:left="1440" w:hanging="1440"/>
        <w:contextualSpacing/>
        <w:rPr>
          <w:rFonts w:ascii="Arial" w:hAnsi="Arial" w:cs="Arial"/>
          <w:color w:val="000000" w:themeColor="text1"/>
          <w:sz w:val="24"/>
          <w:szCs w:val="24"/>
        </w:rPr>
      </w:pPr>
    </w:p>
    <w:p w14:paraId="3A5EE372" w14:textId="37706ABA" w:rsidR="00B75217" w:rsidRPr="00B75217" w:rsidRDefault="003614CB" w:rsidP="00B75217">
      <w:pPr>
        <w:spacing w:after="0" w:line="240" w:lineRule="auto"/>
        <w:ind w:left="1440" w:hanging="1440"/>
        <w:contextualSpacing/>
        <w:rPr>
          <w:rFonts w:ascii="Arial" w:hAnsi="Arial" w:cs="Arial"/>
          <w:color w:val="000000" w:themeColor="text1"/>
          <w:sz w:val="24"/>
          <w:szCs w:val="24"/>
        </w:rPr>
      </w:pPr>
      <w:r w:rsidRPr="7D43FAA7">
        <w:rPr>
          <w:rFonts w:ascii="Arial" w:hAnsi="Arial" w:cs="Arial"/>
          <w:color w:val="000000" w:themeColor="text1"/>
          <w:sz w:val="24"/>
          <w:szCs w:val="24"/>
          <w:vertAlign w:val="superscript"/>
        </w:rPr>
        <w:t>4</w:t>
      </w:r>
      <w:r w:rsidR="00B75217" w:rsidRPr="7D43FAA7">
        <w:rPr>
          <w:rFonts w:ascii="Arial" w:hAnsi="Arial" w:cs="Arial"/>
          <w:color w:val="000000" w:themeColor="text1"/>
          <w:sz w:val="24"/>
          <w:szCs w:val="24"/>
        </w:rPr>
        <w:t>HEDIS</w:t>
      </w:r>
      <w:r w:rsidR="00B75217" w:rsidRPr="7D43FAA7">
        <w:rPr>
          <w:rFonts w:ascii="Arial" w:hAnsi="Arial" w:cs="Arial"/>
          <w:color w:val="000000" w:themeColor="text1"/>
          <w:sz w:val="24"/>
          <w:szCs w:val="24"/>
          <w:vertAlign w:val="superscript"/>
        </w:rPr>
        <w:t>®</w:t>
      </w:r>
      <w:r w:rsidR="00B75217" w:rsidRPr="7D43FAA7">
        <w:rPr>
          <w:rFonts w:ascii="Arial" w:hAnsi="Arial" w:cs="Arial"/>
          <w:color w:val="000000" w:themeColor="text1"/>
          <w:sz w:val="24"/>
          <w:szCs w:val="24"/>
        </w:rPr>
        <w:t xml:space="preserve"> MY 202</w:t>
      </w:r>
      <w:r w:rsidR="00304D12" w:rsidRPr="7D43FAA7">
        <w:rPr>
          <w:rFonts w:ascii="Arial" w:hAnsi="Arial" w:cs="Arial"/>
          <w:color w:val="000000" w:themeColor="text1"/>
          <w:sz w:val="24"/>
          <w:szCs w:val="24"/>
        </w:rPr>
        <w:t>5</w:t>
      </w:r>
      <w:r w:rsidR="00B75217" w:rsidRPr="7D43FAA7">
        <w:rPr>
          <w:rFonts w:ascii="Arial" w:hAnsi="Arial" w:cs="Arial"/>
          <w:color w:val="000000" w:themeColor="text1"/>
          <w:sz w:val="24"/>
          <w:szCs w:val="24"/>
        </w:rPr>
        <w:t>, Volume 2</w:t>
      </w:r>
      <w:r w:rsidR="00304D12" w:rsidRPr="7D43FAA7">
        <w:rPr>
          <w:rFonts w:ascii="Arial" w:hAnsi="Arial" w:cs="Arial"/>
          <w:color w:val="000000" w:themeColor="text1"/>
          <w:sz w:val="24"/>
          <w:szCs w:val="24"/>
        </w:rPr>
        <w:t xml:space="preserve"> Technical Update 2025-03-31</w:t>
      </w:r>
      <w:r w:rsidR="00B75217" w:rsidRPr="7D43FAA7">
        <w:rPr>
          <w:rFonts w:ascii="Arial" w:hAnsi="Arial" w:cs="Arial"/>
          <w:color w:val="000000" w:themeColor="text1"/>
          <w:sz w:val="24"/>
          <w:szCs w:val="24"/>
        </w:rPr>
        <w:t>, page 1</w:t>
      </w:r>
      <w:r w:rsidR="00304D12" w:rsidRPr="7D43FAA7">
        <w:rPr>
          <w:rFonts w:ascii="Arial" w:hAnsi="Arial" w:cs="Arial"/>
          <w:color w:val="000000" w:themeColor="text1"/>
          <w:sz w:val="24"/>
          <w:szCs w:val="24"/>
        </w:rPr>
        <w:t>35</w:t>
      </w:r>
      <w:r w:rsidR="00B75217" w:rsidRPr="7D43FAA7">
        <w:rPr>
          <w:rFonts w:ascii="Arial" w:hAnsi="Arial" w:cs="Arial"/>
          <w:color w:val="000000" w:themeColor="text1"/>
          <w:sz w:val="24"/>
          <w:szCs w:val="24"/>
        </w:rPr>
        <w:t>-1</w:t>
      </w:r>
      <w:r w:rsidR="00304D12" w:rsidRPr="7D43FAA7">
        <w:rPr>
          <w:rFonts w:ascii="Arial" w:hAnsi="Arial" w:cs="Arial"/>
          <w:color w:val="000000" w:themeColor="text1"/>
          <w:sz w:val="24"/>
          <w:szCs w:val="24"/>
        </w:rPr>
        <w:t>4</w:t>
      </w:r>
      <w:r w:rsidR="00B75217" w:rsidRPr="7D43FAA7">
        <w:rPr>
          <w:rFonts w:ascii="Arial" w:hAnsi="Arial" w:cs="Arial"/>
          <w:color w:val="000000" w:themeColor="text1"/>
          <w:sz w:val="24"/>
          <w:szCs w:val="24"/>
        </w:rPr>
        <w:t>1</w:t>
      </w:r>
    </w:p>
    <w:p w14:paraId="063CC358" w14:textId="27177371" w:rsidR="00B97178" w:rsidRPr="00B97178" w:rsidRDefault="00B97178" w:rsidP="007E48BA">
      <w:pPr>
        <w:spacing w:after="0" w:line="240" w:lineRule="auto"/>
        <w:contextualSpacing/>
        <w:rPr>
          <w:rFonts w:ascii="Arial" w:hAnsi="Arial" w:cs="Arial"/>
          <w:color w:val="000000" w:themeColor="text1"/>
          <w:sz w:val="24"/>
          <w:szCs w:val="24"/>
        </w:rPr>
      </w:pPr>
    </w:p>
    <w:p w14:paraId="641EBF76" w14:textId="411C508B" w:rsidR="00B97178" w:rsidRPr="00B97178" w:rsidRDefault="003614CB" w:rsidP="00B97178">
      <w:pPr>
        <w:spacing w:after="0" w:line="240" w:lineRule="auto"/>
        <w:ind w:left="1440" w:hanging="1440"/>
        <w:contextualSpacing/>
        <w:rPr>
          <w:rFonts w:ascii="Arial" w:hAnsi="Arial" w:cs="Arial"/>
          <w:color w:val="000000" w:themeColor="text1"/>
          <w:sz w:val="24"/>
          <w:szCs w:val="24"/>
        </w:rPr>
      </w:pPr>
      <w:r w:rsidRPr="7D43FAA7">
        <w:rPr>
          <w:rFonts w:ascii="Arial" w:hAnsi="Arial" w:cs="Arial"/>
          <w:color w:val="000000" w:themeColor="text1"/>
          <w:sz w:val="24"/>
          <w:szCs w:val="24"/>
          <w:u w:val="single"/>
          <w:vertAlign w:val="superscript"/>
        </w:rPr>
        <w:t>5</w:t>
      </w:r>
      <w:hyperlink r:id="rId13">
        <w:r w:rsidR="00B97178" w:rsidRPr="7D43FAA7">
          <w:rPr>
            <w:rStyle w:val="Hyperlink"/>
            <w:rFonts w:ascii="Arial" w:hAnsi="Arial" w:cs="Arial"/>
            <w:sz w:val="24"/>
            <w:szCs w:val="24"/>
          </w:rPr>
          <w:t>MY 2023 HEDIS</w:t>
        </w:r>
        <w:r w:rsidR="00B97178" w:rsidRPr="7D43FAA7">
          <w:rPr>
            <w:rStyle w:val="Hyperlink"/>
            <w:rFonts w:ascii="Arial" w:hAnsi="Arial" w:cs="Arial"/>
            <w:sz w:val="24"/>
            <w:szCs w:val="24"/>
            <w:vertAlign w:val="superscript"/>
          </w:rPr>
          <w:t>®</w:t>
        </w:r>
        <w:r w:rsidR="00B97178" w:rsidRPr="7D43FAA7">
          <w:rPr>
            <w:rStyle w:val="Hyperlink"/>
            <w:rFonts w:ascii="Arial" w:hAnsi="Arial" w:cs="Arial"/>
            <w:sz w:val="24"/>
            <w:szCs w:val="24"/>
          </w:rPr>
          <w:t xml:space="preserve"> for QRS</w:t>
        </w:r>
      </w:hyperlink>
      <w:r w:rsidR="00B97178" w:rsidRPr="7D43FAA7">
        <w:rPr>
          <w:rFonts w:ascii="Arial" w:hAnsi="Arial" w:cs="Arial"/>
          <w:color w:val="000000" w:themeColor="text1"/>
          <w:sz w:val="24"/>
          <w:szCs w:val="24"/>
        </w:rPr>
        <w:t> (2024 Quality Rating System Measure Technical Specifications </w:t>
      </w:r>
    </w:p>
    <w:p w14:paraId="0AA4106D" w14:textId="77777777" w:rsidR="00B97178" w:rsidRPr="00B97178" w:rsidRDefault="00B97178" w:rsidP="00B97178">
      <w:pPr>
        <w:spacing w:after="0" w:line="240" w:lineRule="auto"/>
        <w:ind w:left="1440" w:hanging="1440"/>
        <w:contextualSpacing/>
        <w:rPr>
          <w:rFonts w:ascii="Arial" w:hAnsi="Arial" w:cs="Arial"/>
          <w:color w:val="000000" w:themeColor="text1"/>
          <w:sz w:val="24"/>
          <w:szCs w:val="24"/>
        </w:rPr>
      </w:pPr>
      <w:r w:rsidRPr="00B97178">
        <w:rPr>
          <w:rFonts w:ascii="Arial" w:hAnsi="Arial" w:cs="Arial"/>
          <w:color w:val="000000" w:themeColor="text1"/>
          <w:sz w:val="24"/>
          <w:szCs w:val="24"/>
        </w:rPr>
        <w:t> </w:t>
      </w:r>
    </w:p>
    <w:p w14:paraId="5316D10E" w14:textId="7FE0201C" w:rsidR="00B97178" w:rsidRDefault="003614CB" w:rsidP="00B97178">
      <w:pPr>
        <w:spacing w:after="0" w:line="240" w:lineRule="auto"/>
        <w:ind w:left="1440" w:hanging="1440"/>
        <w:contextualSpacing/>
        <w:rPr>
          <w:rFonts w:ascii="Arial" w:hAnsi="Arial" w:cs="Arial"/>
          <w:color w:val="000000" w:themeColor="text1"/>
          <w:sz w:val="24"/>
          <w:szCs w:val="24"/>
        </w:rPr>
      </w:pPr>
      <w:r w:rsidRPr="7D43FAA7">
        <w:rPr>
          <w:rFonts w:ascii="Arial" w:hAnsi="Arial" w:cs="Arial"/>
          <w:color w:val="000000" w:themeColor="text1"/>
          <w:sz w:val="24"/>
          <w:szCs w:val="24"/>
          <w:u w:val="single"/>
          <w:vertAlign w:val="superscript"/>
        </w:rPr>
        <w:t>6</w:t>
      </w:r>
      <w:hyperlink r:id="rId14">
        <w:r w:rsidR="00B97178" w:rsidRPr="7D43FAA7">
          <w:rPr>
            <w:rStyle w:val="Hyperlink"/>
            <w:rFonts w:ascii="Arial" w:hAnsi="Arial" w:cs="Arial"/>
            <w:sz w:val="24"/>
            <w:szCs w:val="24"/>
          </w:rPr>
          <w:t>Measurement Year (MY) 2023 HEDIS</w:t>
        </w:r>
        <w:r w:rsidR="00B97178" w:rsidRPr="7D43FAA7">
          <w:rPr>
            <w:rStyle w:val="Hyperlink"/>
            <w:rFonts w:ascii="Arial" w:hAnsi="Arial" w:cs="Arial"/>
            <w:sz w:val="24"/>
            <w:szCs w:val="24"/>
            <w:vertAlign w:val="superscript"/>
          </w:rPr>
          <w:t>®</w:t>
        </w:r>
        <w:r w:rsidR="00B97178" w:rsidRPr="7D43FAA7">
          <w:rPr>
            <w:rStyle w:val="Hyperlink"/>
            <w:rFonts w:ascii="Arial" w:hAnsi="Arial" w:cs="Arial"/>
            <w:sz w:val="24"/>
            <w:szCs w:val="24"/>
          </w:rPr>
          <w:t xml:space="preserve"> for the Quality Rating </w:t>
        </w:r>
      </w:hyperlink>
      <w:hyperlink r:id="rId15">
        <w:r w:rsidR="00B97178" w:rsidRPr="7D43FAA7">
          <w:rPr>
            <w:rStyle w:val="Hyperlink"/>
            <w:rFonts w:ascii="Arial" w:hAnsi="Arial" w:cs="Arial"/>
            <w:sz w:val="24"/>
            <w:szCs w:val="24"/>
          </w:rPr>
          <w:t>System (QRS): Technical Update</w:t>
        </w:r>
      </w:hyperlink>
      <w:r w:rsidR="00B97178" w:rsidRPr="7D43FAA7">
        <w:rPr>
          <w:rFonts w:ascii="Arial" w:hAnsi="Arial" w:cs="Arial"/>
          <w:color w:val="000000" w:themeColor="text1"/>
          <w:sz w:val="24"/>
          <w:szCs w:val="24"/>
        </w:rPr>
        <w:t> </w:t>
      </w:r>
    </w:p>
    <w:p w14:paraId="1FA06F15" w14:textId="77777777" w:rsidR="004700F1" w:rsidRDefault="004700F1" w:rsidP="00B97178">
      <w:pPr>
        <w:spacing w:after="0" w:line="240" w:lineRule="auto"/>
        <w:ind w:left="1440" w:hanging="1440"/>
        <w:contextualSpacing/>
        <w:rPr>
          <w:rFonts w:ascii="Arial" w:hAnsi="Arial" w:cs="Arial"/>
          <w:color w:val="000000" w:themeColor="text1"/>
          <w:sz w:val="24"/>
          <w:szCs w:val="24"/>
        </w:rPr>
      </w:pPr>
    </w:p>
    <w:p w14:paraId="0897178A" w14:textId="45FF64AC" w:rsidR="004700F1" w:rsidRPr="00B97178" w:rsidRDefault="003614CB" w:rsidP="00B97178">
      <w:pPr>
        <w:spacing w:after="0" w:line="240" w:lineRule="auto"/>
        <w:ind w:left="1440" w:hanging="1440"/>
        <w:contextualSpacing/>
        <w:rPr>
          <w:rFonts w:ascii="Arial" w:hAnsi="Arial" w:cs="Arial"/>
          <w:color w:val="000000" w:themeColor="text1"/>
          <w:sz w:val="24"/>
          <w:szCs w:val="24"/>
        </w:rPr>
      </w:pPr>
      <w:r w:rsidRPr="7D43FAA7">
        <w:rPr>
          <w:rFonts w:ascii="Arial" w:hAnsi="Arial" w:cs="Arial"/>
          <w:color w:val="000000" w:themeColor="text1"/>
          <w:sz w:val="24"/>
          <w:szCs w:val="24"/>
          <w:vertAlign w:val="superscript"/>
        </w:rPr>
        <w:t>7</w:t>
      </w:r>
      <w:hyperlink r:id="rId16">
        <w:r w:rsidR="004700F1" w:rsidRPr="7D43FAA7">
          <w:rPr>
            <w:rStyle w:val="Hyperlink"/>
            <w:rFonts w:ascii="Arial" w:hAnsi="Arial" w:cs="Arial"/>
            <w:sz w:val="24"/>
            <w:szCs w:val="24"/>
          </w:rPr>
          <w:t>MY 2024 HEDIS</w:t>
        </w:r>
        <w:r w:rsidR="004700F1" w:rsidRPr="7D43FAA7">
          <w:rPr>
            <w:rStyle w:val="Hyperlink"/>
            <w:rFonts w:ascii="Arial" w:hAnsi="Arial" w:cs="Arial"/>
            <w:sz w:val="24"/>
            <w:szCs w:val="24"/>
            <w:vertAlign w:val="superscript"/>
          </w:rPr>
          <w:t>®</w:t>
        </w:r>
        <w:r w:rsidR="004700F1" w:rsidRPr="7D43FAA7">
          <w:rPr>
            <w:rStyle w:val="Hyperlink"/>
            <w:rFonts w:ascii="Arial" w:hAnsi="Arial" w:cs="Arial"/>
            <w:sz w:val="24"/>
            <w:szCs w:val="24"/>
          </w:rPr>
          <w:t xml:space="preserve"> for QRS </w:t>
        </w:r>
      </w:hyperlink>
      <w:r w:rsidR="004700F1" w:rsidRPr="7D43FAA7">
        <w:rPr>
          <w:rFonts w:ascii="Arial" w:hAnsi="Arial" w:cs="Arial"/>
          <w:color w:val="000000" w:themeColor="text1"/>
          <w:sz w:val="24"/>
          <w:szCs w:val="24"/>
        </w:rPr>
        <w:t>(2025 Quality Ratings System Measure Technical Specifications) </w:t>
      </w:r>
    </w:p>
    <w:p w14:paraId="49299769" w14:textId="528D5E05" w:rsidR="00112AB6" w:rsidRPr="0000324A" w:rsidRDefault="00B97178" w:rsidP="0000324A">
      <w:pPr>
        <w:spacing w:after="0" w:line="240" w:lineRule="auto"/>
        <w:ind w:left="1440" w:hanging="1440"/>
        <w:contextualSpacing/>
        <w:rPr>
          <w:rFonts w:ascii="Arial" w:hAnsi="Arial" w:cs="Arial"/>
          <w:color w:val="000000" w:themeColor="text1"/>
          <w:sz w:val="24"/>
          <w:szCs w:val="24"/>
        </w:rPr>
      </w:pPr>
      <w:r w:rsidRPr="00B97178">
        <w:rPr>
          <w:rFonts w:ascii="Arial" w:hAnsi="Arial" w:cs="Arial"/>
          <w:color w:val="000000" w:themeColor="text1"/>
          <w:sz w:val="24"/>
          <w:szCs w:val="24"/>
        </w:rPr>
        <w:t> </w:t>
      </w:r>
    </w:p>
    <w:p w14:paraId="46A41081" w14:textId="6CCB2A7B" w:rsidR="00112AB6" w:rsidRPr="00112AB6" w:rsidRDefault="00112AB6" w:rsidP="00112AB6">
      <w:pPr>
        <w:pStyle w:val="Footer"/>
        <w:tabs>
          <w:tab w:val="clear" w:pos="4680"/>
          <w:tab w:val="clear" w:pos="9360"/>
          <w:tab w:val="left" w:pos="3405"/>
        </w:tabs>
        <w:rPr>
          <w:rFonts w:ascii="Arial" w:eastAsia="Arial" w:hAnsi="Arial" w:cs="Arial"/>
          <w:iCs/>
          <w:sz w:val="24"/>
          <w:szCs w:val="24"/>
        </w:rPr>
      </w:pPr>
      <w:r w:rsidRPr="00112AB6">
        <w:rPr>
          <w:rFonts w:ascii="Arial" w:eastAsia="Arial" w:hAnsi="Arial" w:cs="Arial"/>
          <w:iCs/>
          <w:sz w:val="24"/>
          <w:szCs w:val="24"/>
        </w:rPr>
        <w:t>HEDIS®</w:t>
      </w:r>
      <w:r w:rsidRPr="00112AB6">
        <w:rPr>
          <w:rFonts w:ascii="Arial" w:eastAsia="Arial" w:hAnsi="Arial" w:cs="Arial"/>
          <w:iCs/>
          <w:sz w:val="24"/>
          <w:szCs w:val="24"/>
        </w:rPr>
        <w:tab/>
      </w:r>
    </w:p>
    <w:p w14:paraId="7D65D4DD" w14:textId="2BEE3745" w:rsidR="00112AB6" w:rsidRPr="00112AB6" w:rsidRDefault="00112AB6" w:rsidP="00112AB6">
      <w:pPr>
        <w:pStyle w:val="Footer"/>
        <w:rPr>
          <w:rFonts w:ascii="Arial" w:eastAsia="Arial" w:hAnsi="Arial" w:cs="Arial"/>
          <w:sz w:val="24"/>
          <w:szCs w:val="24"/>
        </w:rPr>
      </w:pPr>
      <w:r w:rsidRPr="00112AB6">
        <w:rPr>
          <w:rFonts w:ascii="Arial" w:eastAsia="Arial" w:hAnsi="Arial" w:cs="Arial"/>
          <w:sz w:val="24"/>
          <w:szCs w:val="24"/>
        </w:rPr>
        <w:t>The Healthcare Effectiveness Data and Information Set (HEDIS®) is a registered trademark of NCQA.</w:t>
      </w:r>
    </w:p>
    <w:p w14:paraId="6CC1DD0B" w14:textId="77777777" w:rsidR="007F717C" w:rsidRDefault="007F717C" w:rsidP="00B97178">
      <w:pPr>
        <w:spacing w:after="0" w:line="240" w:lineRule="auto"/>
        <w:ind w:left="1440" w:hanging="1440"/>
        <w:contextualSpacing/>
        <w:rPr>
          <w:rFonts w:ascii="Arial" w:hAnsi="Arial" w:cs="Arial"/>
          <w:b/>
          <w:bCs/>
          <w:color w:val="000000" w:themeColor="text1"/>
          <w:sz w:val="24"/>
          <w:szCs w:val="24"/>
        </w:rPr>
      </w:pPr>
    </w:p>
    <w:p w14:paraId="4564177F" w14:textId="074370FB" w:rsidR="007E48BA" w:rsidRPr="00CA57F3" w:rsidRDefault="00B55FF0" w:rsidP="00CA57F3">
      <w:pPr>
        <w:spacing w:after="0" w:line="240" w:lineRule="auto"/>
        <w:ind w:left="1440" w:hanging="1440"/>
        <w:contextualSpacing/>
        <w:rPr>
          <w:rFonts w:ascii="Arial" w:hAnsi="Arial" w:cs="Arial"/>
          <w:color w:val="000000" w:themeColor="text1"/>
          <w:sz w:val="24"/>
          <w:szCs w:val="24"/>
        </w:rPr>
      </w:pPr>
      <w:r w:rsidRPr="00B55FF0">
        <w:rPr>
          <w:rFonts w:ascii="Arial" w:hAnsi="Arial" w:cs="Arial"/>
          <w:color w:val="000000" w:themeColor="text1"/>
          <w:sz w:val="24"/>
          <w:szCs w:val="24"/>
          <w:vertAlign w:val="superscript"/>
        </w:rPr>
        <w:t>©</w:t>
      </w:r>
      <w:r w:rsidRPr="00B55FF0">
        <w:rPr>
          <w:rFonts w:ascii="Arial" w:hAnsi="Arial" w:cs="Arial"/>
          <w:color w:val="000000" w:themeColor="text1"/>
          <w:sz w:val="24"/>
          <w:szCs w:val="24"/>
        </w:rPr>
        <w:t>NCQA Copyright</w:t>
      </w:r>
      <w:r w:rsidR="00BC625B">
        <w:rPr>
          <w:rFonts w:ascii="Arial" w:hAnsi="Arial" w:cs="Arial"/>
          <w:color w:val="000000" w:themeColor="text1"/>
          <w:sz w:val="24"/>
          <w:szCs w:val="24"/>
        </w:rPr>
        <w:t xml:space="preserve"> Display of COL</w:t>
      </w:r>
      <w:r w:rsidR="007C2142">
        <w:rPr>
          <w:rFonts w:ascii="Arial" w:hAnsi="Arial" w:cs="Arial"/>
          <w:color w:val="000000" w:themeColor="text1"/>
          <w:sz w:val="24"/>
          <w:szCs w:val="24"/>
        </w:rPr>
        <w:t xml:space="preserve"> Measure</w:t>
      </w:r>
    </w:p>
    <w:p w14:paraId="7C55ABAF" w14:textId="77777777" w:rsidR="007E48BA" w:rsidRPr="007E48BA" w:rsidRDefault="007E48BA" w:rsidP="007E48BA">
      <w:pPr>
        <w:numPr>
          <w:ilvl w:val="0"/>
          <w:numId w:val="12"/>
        </w:numPr>
        <w:spacing w:after="0" w:line="240" w:lineRule="auto"/>
        <w:contextualSpacing/>
        <w:rPr>
          <w:rFonts w:ascii="Arial" w:hAnsi="Arial" w:cs="Arial"/>
          <w:color w:val="000000" w:themeColor="text1"/>
        </w:rPr>
      </w:pPr>
      <w:r w:rsidRPr="007E48BA">
        <w:rPr>
          <w:rFonts w:ascii="Arial" w:hAnsi="Arial" w:cs="Arial"/>
          <w:i/>
          <w:iCs/>
          <w:color w:val="000000" w:themeColor="text1"/>
        </w:rPr>
        <w:t xml:space="preserve">CPT Copyright 2024 American Medical Association. All rights reserved. CPT® is a registered trademark of the American Medical Association. Applicable FARS/DFARS Restrictions Apply to Government Use. Fee schedules, relative value units, conversion factors and/or related components are not assigned by the AMA, are not part of CPT, and the AMA is not recommending their use. The AMA does not directly or indirectly practice medicine or dispense medical services. The AMA assumes no liability for data contained or not contained herein. </w:t>
      </w:r>
    </w:p>
    <w:p w14:paraId="7DA8636A" w14:textId="77777777" w:rsidR="007E48BA" w:rsidRPr="007E48BA" w:rsidRDefault="007E48BA" w:rsidP="007E48BA">
      <w:pPr>
        <w:numPr>
          <w:ilvl w:val="0"/>
          <w:numId w:val="12"/>
        </w:numPr>
        <w:spacing w:after="0" w:line="240" w:lineRule="auto"/>
        <w:contextualSpacing/>
        <w:rPr>
          <w:rFonts w:ascii="Arial" w:hAnsi="Arial" w:cs="Arial"/>
          <w:color w:val="000000" w:themeColor="text1"/>
        </w:rPr>
      </w:pPr>
      <w:r w:rsidRPr="007E48BA">
        <w:rPr>
          <w:rFonts w:ascii="Arial" w:hAnsi="Arial" w:cs="Arial"/>
          <w:i/>
          <w:iCs/>
          <w:color w:val="000000" w:themeColor="text1"/>
        </w:rPr>
        <w:t xml:space="preserve">The CDC Race and Ethnicity code system was developed by the U.S. Centers for Disease Control and Prevention (CDC). NCQA’s use of the code system does not imply endorsement by the CDC of NCQA, or its products or services. The code system is otherwise available on the CDC website for no charge. </w:t>
      </w:r>
    </w:p>
    <w:p w14:paraId="3FFAC9AD" w14:textId="77777777" w:rsidR="007E48BA" w:rsidRPr="007E48BA" w:rsidRDefault="007E48BA" w:rsidP="007E48BA">
      <w:pPr>
        <w:numPr>
          <w:ilvl w:val="0"/>
          <w:numId w:val="12"/>
        </w:numPr>
        <w:spacing w:after="0" w:line="240" w:lineRule="auto"/>
        <w:contextualSpacing/>
        <w:rPr>
          <w:rFonts w:ascii="Arial" w:hAnsi="Arial" w:cs="Arial"/>
          <w:color w:val="000000" w:themeColor="text1"/>
        </w:rPr>
      </w:pPr>
      <w:r w:rsidRPr="007E48BA">
        <w:rPr>
          <w:rFonts w:ascii="Arial" w:hAnsi="Arial" w:cs="Arial"/>
          <w:i/>
          <w:iCs/>
          <w:color w:val="000000" w:themeColor="text1"/>
        </w:rPr>
        <w:t xml:space="preserve">Certain codes are owned and copyrighted by Health Level Seven International (HL7); 2024. </w:t>
      </w:r>
    </w:p>
    <w:p w14:paraId="05F2947E" w14:textId="788C8145" w:rsidR="005A45C3" w:rsidRPr="007C2142" w:rsidRDefault="007E48BA" w:rsidP="0074696E">
      <w:pPr>
        <w:numPr>
          <w:ilvl w:val="0"/>
          <w:numId w:val="12"/>
        </w:numPr>
        <w:spacing w:after="0" w:line="240" w:lineRule="auto"/>
        <w:contextualSpacing/>
        <w:rPr>
          <w:rFonts w:ascii="Arial" w:hAnsi="Arial" w:cs="Arial"/>
          <w:color w:val="000000" w:themeColor="text1"/>
        </w:rPr>
      </w:pPr>
      <w:r w:rsidRPr="007E48BA">
        <w:rPr>
          <w:rFonts w:ascii="Arial" w:hAnsi="Arial" w:cs="Arial"/>
          <w:i/>
          <w:iCs/>
          <w:color w:val="000000" w:themeColor="text1"/>
        </w:rPr>
        <w:t xml:space="preserve">The American Hospital Association holds a copyright to the Uniform Billing Codes (“UB”) contained in the measure specifications. The UB Codes in the HEDIS specifications are included with the permission of the AHA. All uses of the UB Codes may require a license from the AHA. Specifically, anyone desiring to use the UB Codes in a commercial product to generate HEDIS results, or for any other commercial use, must obtain a commercial use license directly from the AHA. To inquire about licensing, contact </w:t>
      </w:r>
      <w:hyperlink r:id="rId17" w:history="1">
        <w:r w:rsidRPr="007E48BA">
          <w:rPr>
            <w:rStyle w:val="Hyperlink"/>
            <w:rFonts w:ascii="Arial" w:hAnsi="Arial" w:cs="Arial"/>
            <w:i/>
            <w:iCs/>
          </w:rPr>
          <w:t>ub04@aha.org</w:t>
        </w:r>
      </w:hyperlink>
      <w:r w:rsidRPr="007E48BA">
        <w:rPr>
          <w:rFonts w:ascii="Arial" w:hAnsi="Arial" w:cs="Arial"/>
          <w:i/>
          <w:iCs/>
          <w:color w:val="000000" w:themeColor="text1"/>
        </w:rPr>
        <w:t xml:space="preserve">. </w:t>
      </w:r>
    </w:p>
    <w:p w14:paraId="04A7C5C6" w14:textId="77777777" w:rsidR="007C2142" w:rsidRDefault="007C2142" w:rsidP="007C2142">
      <w:pPr>
        <w:spacing w:after="0" w:line="240" w:lineRule="auto"/>
        <w:contextualSpacing/>
        <w:rPr>
          <w:rFonts w:ascii="Arial" w:hAnsi="Arial" w:cs="Arial"/>
          <w:i/>
          <w:iCs/>
          <w:color w:val="000000" w:themeColor="text1"/>
        </w:rPr>
      </w:pPr>
    </w:p>
    <w:p w14:paraId="7F1FC786" w14:textId="6F5E16DD" w:rsidR="007C2142" w:rsidRDefault="007C2142" w:rsidP="007C2142">
      <w:pPr>
        <w:spacing w:after="0" w:line="240" w:lineRule="auto"/>
        <w:ind w:left="1440" w:hanging="1440"/>
        <w:contextualSpacing/>
        <w:rPr>
          <w:rFonts w:ascii="Arial" w:hAnsi="Arial" w:cs="Arial"/>
          <w:color w:val="000000" w:themeColor="text1"/>
          <w:sz w:val="24"/>
          <w:szCs w:val="24"/>
        </w:rPr>
      </w:pPr>
      <w:r w:rsidRPr="00B55FF0">
        <w:rPr>
          <w:rFonts w:ascii="Arial" w:hAnsi="Arial" w:cs="Arial"/>
          <w:color w:val="000000" w:themeColor="text1"/>
          <w:sz w:val="24"/>
          <w:szCs w:val="24"/>
          <w:vertAlign w:val="superscript"/>
        </w:rPr>
        <w:lastRenderedPageBreak/>
        <w:t>©</w:t>
      </w:r>
      <w:r w:rsidRPr="00B55FF0">
        <w:rPr>
          <w:rFonts w:ascii="Arial" w:hAnsi="Arial" w:cs="Arial"/>
          <w:color w:val="000000" w:themeColor="text1"/>
          <w:sz w:val="24"/>
          <w:szCs w:val="24"/>
        </w:rPr>
        <w:t>NCQA Copyright</w:t>
      </w:r>
      <w:r>
        <w:rPr>
          <w:rFonts w:ascii="Arial" w:hAnsi="Arial" w:cs="Arial"/>
          <w:color w:val="000000" w:themeColor="text1"/>
          <w:sz w:val="24"/>
          <w:szCs w:val="24"/>
        </w:rPr>
        <w:t xml:space="preserve"> Display CIS, Combination 10 Measure</w:t>
      </w:r>
    </w:p>
    <w:p w14:paraId="2211C479" w14:textId="77777777" w:rsidR="007C2142" w:rsidRPr="00CA57F3" w:rsidRDefault="007C2142" w:rsidP="007C2142">
      <w:pPr>
        <w:spacing w:after="0" w:line="240" w:lineRule="auto"/>
        <w:ind w:left="1440" w:hanging="1440"/>
        <w:contextualSpacing/>
        <w:rPr>
          <w:rFonts w:ascii="Arial" w:hAnsi="Arial" w:cs="Arial"/>
          <w:color w:val="000000" w:themeColor="text1"/>
          <w:sz w:val="24"/>
          <w:szCs w:val="24"/>
        </w:rPr>
      </w:pPr>
    </w:p>
    <w:p w14:paraId="04F0B444"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CPT Copyright 2025 American Medical Association. All rights reserved. CPT® is a registered trademark of the American Medical Association. Applicable FARS/DFARS Restrictions Apply to Government Use. Fee schedules, relative value units, conversion factors and/or related components are not assigned by the AMA, are not part of CPT, and the AMA is not recommending their use. The AMA does not directly or indirectly practice medicine or dispense medical services. The AMA assumes no liability for data contained or not contained herein.</w:t>
      </w:r>
      <w:r w:rsidRPr="00F60A52">
        <w:rPr>
          <w:rFonts w:ascii="Arial" w:hAnsi="Arial" w:cs="Arial"/>
          <w:color w:val="000000" w:themeColor="text1"/>
        </w:rPr>
        <w:t>​</w:t>
      </w:r>
    </w:p>
    <w:p w14:paraId="21405299"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The CDC Race and Ethnicity code system was developed by the U.S. Centers for Disease Control and Prevention (CDC). NCQA’s use of the code system does not imply endorsement by the CDC of NCQA, or its products or services. The code system is otherwise available on the CDC website for no charge.</w:t>
      </w:r>
      <w:r w:rsidRPr="00F60A52">
        <w:rPr>
          <w:rFonts w:ascii="Arial" w:hAnsi="Arial" w:cs="Arial"/>
          <w:color w:val="000000" w:themeColor="text1"/>
        </w:rPr>
        <w:t>​</w:t>
      </w:r>
    </w:p>
    <w:p w14:paraId="3BAD6C68"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Certain </w:t>
      </w:r>
      <w:proofErr w:type="spellStart"/>
      <w:r w:rsidRPr="00F60A52">
        <w:rPr>
          <w:rFonts w:ascii="Arial" w:hAnsi="Arial" w:cs="Arial"/>
          <w:i/>
          <w:iCs/>
          <w:color w:val="000000" w:themeColor="text1"/>
        </w:rPr>
        <w:t>NullFlavor</w:t>
      </w:r>
      <w:proofErr w:type="spellEnd"/>
      <w:r w:rsidRPr="00F60A52">
        <w:rPr>
          <w:rFonts w:ascii="Arial" w:hAnsi="Arial" w:cs="Arial"/>
          <w:i/>
          <w:iCs/>
          <w:color w:val="000000" w:themeColor="text1"/>
        </w:rPr>
        <w:t> codes are owned and copyrighted by Health Level Seven International (HL7); 2025. </w:t>
      </w:r>
      <w:r w:rsidRPr="00F60A52">
        <w:rPr>
          <w:rFonts w:ascii="Arial" w:hAnsi="Arial" w:cs="Arial"/>
          <w:color w:val="000000" w:themeColor="text1"/>
        </w:rPr>
        <w:t>​</w:t>
      </w:r>
    </w:p>
    <w:p w14:paraId="0724ADCC"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The American Hospital Association (AHA) holds a copyright to the Uniform Billing Codes (“UB04”) contained in the measure specifications. The UB-04 Codes in the HEDIS specifications are included with the permission of the AHA. All uses of the UB-04 Codes may require a license from the AHA. Specifically, anyone desiring to use the UB-04 Codes in a commercial product to generate HEDIS results, or for any other commercial use, must obtain a commercial use license directly from the AHA. To inquire about licensing, contact </w:t>
      </w:r>
      <w:hyperlink r:id="rId18" w:tgtFrame="_blank" w:history="1">
        <w:r w:rsidRPr="00F60A52">
          <w:rPr>
            <w:rStyle w:val="Hyperlink"/>
            <w:rFonts w:ascii="Arial" w:hAnsi="Arial" w:cs="Arial"/>
            <w:i/>
            <w:iCs/>
          </w:rPr>
          <w:t>ub04@aha.org</w:t>
        </w:r>
      </w:hyperlink>
      <w:r w:rsidRPr="00F60A52">
        <w:rPr>
          <w:rFonts w:ascii="Arial" w:hAnsi="Arial" w:cs="Arial"/>
          <w:i/>
          <w:iCs/>
          <w:color w:val="000000" w:themeColor="text1"/>
        </w:rPr>
        <w:t>.</w:t>
      </w:r>
      <w:r w:rsidRPr="00F60A52">
        <w:rPr>
          <w:rFonts w:ascii="Arial" w:hAnsi="Arial" w:cs="Arial"/>
          <w:color w:val="000000" w:themeColor="text1"/>
        </w:rPr>
        <w:t>​</w:t>
      </w:r>
    </w:p>
    <w:p w14:paraId="252C20AF"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NCQA State Program License – Covered California</w:t>
      </w:r>
      <w:r w:rsidRPr="00F60A52">
        <w:rPr>
          <w:rFonts w:ascii="Arial" w:hAnsi="Arial" w:cs="Arial"/>
          <w:color w:val="000000" w:themeColor="text1"/>
        </w:rPr>
        <w:t>​</w:t>
      </w:r>
    </w:p>
    <w:p w14:paraId="28EEAE8B" w14:textId="77777777" w:rsidR="00F60A52" w:rsidRPr="00F60A52" w:rsidRDefault="00F60A52" w:rsidP="00F60A52">
      <w:pPr>
        <w:numPr>
          <w:ilvl w:val="0"/>
          <w:numId w:val="14"/>
        </w:numPr>
        <w:spacing w:after="0" w:line="240" w:lineRule="auto"/>
        <w:contextualSpacing/>
        <w:rPr>
          <w:rFonts w:ascii="Arial" w:hAnsi="Arial" w:cs="Arial"/>
          <w:color w:val="000000" w:themeColor="text1"/>
        </w:rPr>
      </w:pPr>
      <w:r w:rsidRPr="00F60A52">
        <w:rPr>
          <w:rFonts w:ascii="Arial" w:hAnsi="Arial" w:cs="Arial"/>
          <w:i/>
          <w:iCs/>
          <w:color w:val="000000" w:themeColor="text1"/>
        </w:rPr>
        <w:t>Some measure specifications contain coding from LOINC® (</w:t>
      </w:r>
      <w:hyperlink r:id="rId19" w:tgtFrame="_blank" w:history="1">
        <w:r w:rsidRPr="00F60A52">
          <w:rPr>
            <w:rStyle w:val="Hyperlink"/>
            <w:rFonts w:ascii="Arial" w:hAnsi="Arial" w:cs="Arial"/>
            <w:i/>
            <w:iCs/>
          </w:rPr>
          <w:t>http://loinc.org</w:t>
        </w:r>
      </w:hyperlink>
      <w:r w:rsidRPr="00F60A52">
        <w:rPr>
          <w:rFonts w:ascii="Arial" w:hAnsi="Arial" w:cs="Arial"/>
          <w:i/>
          <w:iCs/>
          <w:color w:val="000000" w:themeColor="text1"/>
        </w:rPr>
        <w:t>). The LOINC table, LOINC codes, LOINC panels and form file, LOINC linguistic variants file, LOINC/RSNA Radiology Playbook, and LOINC/IEEE Medical Device Code Mapping Table are copyright © 1995–2025 </w:t>
      </w:r>
      <w:proofErr w:type="spellStart"/>
      <w:r w:rsidRPr="00F60A52">
        <w:rPr>
          <w:rFonts w:ascii="Arial" w:hAnsi="Arial" w:cs="Arial"/>
          <w:i/>
          <w:iCs/>
          <w:color w:val="000000" w:themeColor="text1"/>
        </w:rPr>
        <w:t>Regenstrief</w:t>
      </w:r>
      <w:proofErr w:type="spellEnd"/>
      <w:r w:rsidRPr="00F60A52">
        <w:rPr>
          <w:rFonts w:ascii="Arial" w:hAnsi="Arial" w:cs="Arial"/>
          <w:i/>
          <w:iCs/>
          <w:color w:val="000000" w:themeColor="text1"/>
        </w:rPr>
        <w:t> Institute, Inc. and the Logical Observation Identifiers Names and Codes (LOINC) Committee, and are available at no cost under the license at </w:t>
      </w:r>
      <w:hyperlink r:id="rId20" w:tgtFrame="_blank" w:history="1">
        <w:r w:rsidRPr="00F60A52">
          <w:rPr>
            <w:rStyle w:val="Hyperlink"/>
            <w:rFonts w:ascii="Arial" w:hAnsi="Arial" w:cs="Arial"/>
            <w:i/>
            <w:iCs/>
          </w:rPr>
          <w:t>https://loinc.org/kb/license/</w:t>
        </w:r>
      </w:hyperlink>
      <w:r w:rsidRPr="00F60A52">
        <w:rPr>
          <w:rFonts w:ascii="Arial" w:hAnsi="Arial" w:cs="Arial"/>
          <w:i/>
          <w:iCs/>
          <w:color w:val="000000" w:themeColor="text1"/>
        </w:rPr>
        <w:t>. This material includes SNOMED Clinical Terms® (SNOMED CT®) which is used by permission of the International Health Terminology Standards Development </w:t>
      </w:r>
      <w:proofErr w:type="spellStart"/>
      <w:r w:rsidRPr="00F60A52">
        <w:rPr>
          <w:rFonts w:ascii="Arial" w:hAnsi="Arial" w:cs="Arial"/>
          <w:i/>
          <w:iCs/>
          <w:color w:val="000000" w:themeColor="text1"/>
        </w:rPr>
        <w:t>Organisation</w:t>
      </w:r>
      <w:proofErr w:type="spellEnd"/>
      <w:r w:rsidRPr="00F60A52">
        <w:rPr>
          <w:rFonts w:ascii="Arial" w:hAnsi="Arial" w:cs="Arial"/>
          <w:i/>
          <w:iCs/>
          <w:color w:val="000000" w:themeColor="text1"/>
        </w:rPr>
        <w:t> (IHTSDO). All rights reserved. SNOMED CT®, was originally created by The College of American Pathologists. "SNOMED” and “SNOMED CT” are registered trademarks of the International Health Terminology Standards Development </w:t>
      </w:r>
      <w:proofErr w:type="spellStart"/>
      <w:r w:rsidRPr="00F60A52">
        <w:rPr>
          <w:rFonts w:ascii="Arial" w:hAnsi="Arial" w:cs="Arial"/>
          <w:i/>
          <w:iCs/>
          <w:color w:val="000000" w:themeColor="text1"/>
        </w:rPr>
        <w:t>Organisation</w:t>
      </w:r>
      <w:proofErr w:type="spellEnd"/>
      <w:r w:rsidRPr="00F60A52">
        <w:rPr>
          <w:rFonts w:ascii="Arial" w:hAnsi="Arial" w:cs="Arial"/>
          <w:i/>
          <w:iCs/>
          <w:color w:val="000000" w:themeColor="text1"/>
        </w:rPr>
        <w:t> (IHTSDO).</w:t>
      </w:r>
      <w:r w:rsidRPr="00F60A52">
        <w:rPr>
          <w:rFonts w:ascii="Arial" w:hAnsi="Arial" w:cs="Arial"/>
          <w:color w:val="000000" w:themeColor="text1"/>
        </w:rPr>
        <w:t>​</w:t>
      </w:r>
    </w:p>
    <w:p w14:paraId="42BA17F8" w14:textId="77777777" w:rsidR="007C2142" w:rsidRPr="0074696E" w:rsidRDefault="007C2142" w:rsidP="007C2142">
      <w:pPr>
        <w:spacing w:after="0" w:line="240" w:lineRule="auto"/>
        <w:contextualSpacing/>
        <w:rPr>
          <w:rFonts w:ascii="Arial" w:hAnsi="Arial" w:cs="Arial"/>
          <w:color w:val="000000" w:themeColor="text1"/>
        </w:rPr>
      </w:pPr>
    </w:p>
    <w:sectPr w:rsidR="007C2142" w:rsidRPr="0074696E" w:rsidSect="008352E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C3B8" w14:textId="77777777" w:rsidR="009A3350" w:rsidRDefault="009A3350" w:rsidP="00A52AE5">
      <w:pPr>
        <w:spacing w:after="0" w:line="240" w:lineRule="auto"/>
      </w:pPr>
      <w:r>
        <w:separator/>
      </w:r>
    </w:p>
  </w:endnote>
  <w:endnote w:type="continuationSeparator" w:id="0">
    <w:p w14:paraId="022CB340" w14:textId="77777777" w:rsidR="009A3350" w:rsidRDefault="009A3350" w:rsidP="00A52AE5">
      <w:pPr>
        <w:spacing w:after="0" w:line="240" w:lineRule="auto"/>
      </w:pPr>
      <w:r>
        <w:continuationSeparator/>
      </w:r>
    </w:p>
  </w:endnote>
  <w:endnote w:type="continuationNotice" w:id="1">
    <w:p w14:paraId="03E1B9B9" w14:textId="77777777" w:rsidR="009A3350" w:rsidRDefault="009A3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9CCD" w14:textId="77777777" w:rsidR="001C1B3A" w:rsidRDefault="001C1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248239"/>
      <w:docPartObj>
        <w:docPartGallery w:val="Page Numbers (Bottom of Page)"/>
        <w:docPartUnique/>
      </w:docPartObj>
    </w:sdtPr>
    <w:sdtEndPr>
      <w:rPr>
        <w:noProof/>
      </w:rPr>
    </w:sdtEndPr>
    <w:sdtContent>
      <w:p w14:paraId="225B1F7F" w14:textId="06990AF5" w:rsidR="001C1B3A" w:rsidRDefault="001C1B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E01E9" w14:textId="77777777" w:rsidR="001C1B3A" w:rsidRDefault="001C1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864E" w14:textId="77777777" w:rsidR="001C1B3A" w:rsidRDefault="001C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23D6" w14:textId="77777777" w:rsidR="009A3350" w:rsidRDefault="009A3350" w:rsidP="00A52AE5">
      <w:pPr>
        <w:spacing w:after="0" w:line="240" w:lineRule="auto"/>
      </w:pPr>
      <w:r>
        <w:separator/>
      </w:r>
    </w:p>
  </w:footnote>
  <w:footnote w:type="continuationSeparator" w:id="0">
    <w:p w14:paraId="7DBA8BB2" w14:textId="77777777" w:rsidR="009A3350" w:rsidRDefault="009A3350" w:rsidP="00A52AE5">
      <w:pPr>
        <w:spacing w:after="0" w:line="240" w:lineRule="auto"/>
      </w:pPr>
      <w:r>
        <w:continuationSeparator/>
      </w:r>
    </w:p>
  </w:footnote>
  <w:footnote w:type="continuationNotice" w:id="1">
    <w:p w14:paraId="007DBDAD" w14:textId="77777777" w:rsidR="009A3350" w:rsidRDefault="009A3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EBA2" w14:textId="77777777" w:rsidR="001C1B3A" w:rsidRDefault="001C1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D41E" w14:textId="77777777" w:rsidR="001C1B3A" w:rsidRDefault="001C1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213D" w14:textId="77777777" w:rsidR="001C1B3A" w:rsidRDefault="001C1B3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15B6"/>
    <w:multiLevelType w:val="hybridMultilevel"/>
    <w:tmpl w:val="216C983A"/>
    <w:lvl w:ilvl="0" w:tplc="5A0A8456">
      <w:start w:val="1"/>
      <w:numFmt w:val="decimal"/>
      <w:lvlText w:val="%1)"/>
      <w:lvlJc w:val="left"/>
      <w:pPr>
        <w:ind w:left="720" w:hanging="360"/>
      </w:pPr>
    </w:lvl>
    <w:lvl w:ilvl="1" w:tplc="6AE8E6F4">
      <w:start w:val="1"/>
      <w:numFmt w:val="lowerLetter"/>
      <w:lvlText w:val="%2."/>
      <w:lvlJc w:val="left"/>
      <w:pPr>
        <w:ind w:left="1440" w:hanging="360"/>
      </w:pPr>
    </w:lvl>
    <w:lvl w:ilvl="2" w:tplc="A6DE12A6">
      <w:start w:val="1"/>
      <w:numFmt w:val="lowerRoman"/>
      <w:lvlText w:val="%3."/>
      <w:lvlJc w:val="right"/>
      <w:pPr>
        <w:ind w:left="2160" w:hanging="180"/>
      </w:pPr>
    </w:lvl>
    <w:lvl w:ilvl="3" w:tplc="C01A5EBC">
      <w:start w:val="1"/>
      <w:numFmt w:val="decimal"/>
      <w:lvlText w:val="%4."/>
      <w:lvlJc w:val="left"/>
      <w:pPr>
        <w:ind w:left="2880" w:hanging="360"/>
      </w:pPr>
    </w:lvl>
    <w:lvl w:ilvl="4" w:tplc="CF428EB4">
      <w:start w:val="1"/>
      <w:numFmt w:val="lowerLetter"/>
      <w:lvlText w:val="%5."/>
      <w:lvlJc w:val="left"/>
      <w:pPr>
        <w:ind w:left="3600" w:hanging="360"/>
      </w:pPr>
    </w:lvl>
    <w:lvl w:ilvl="5" w:tplc="FDCC232C">
      <w:start w:val="1"/>
      <w:numFmt w:val="lowerRoman"/>
      <w:lvlText w:val="%6."/>
      <w:lvlJc w:val="right"/>
      <w:pPr>
        <w:ind w:left="4320" w:hanging="180"/>
      </w:pPr>
    </w:lvl>
    <w:lvl w:ilvl="6" w:tplc="CC1E2AE0">
      <w:start w:val="1"/>
      <w:numFmt w:val="decimal"/>
      <w:lvlText w:val="%7."/>
      <w:lvlJc w:val="left"/>
      <w:pPr>
        <w:ind w:left="5040" w:hanging="360"/>
      </w:pPr>
    </w:lvl>
    <w:lvl w:ilvl="7" w:tplc="36DC21B2">
      <w:start w:val="1"/>
      <w:numFmt w:val="lowerLetter"/>
      <w:lvlText w:val="%8."/>
      <w:lvlJc w:val="left"/>
      <w:pPr>
        <w:ind w:left="5760" w:hanging="360"/>
      </w:pPr>
    </w:lvl>
    <w:lvl w:ilvl="8" w:tplc="232E1B34">
      <w:start w:val="1"/>
      <w:numFmt w:val="lowerRoman"/>
      <w:lvlText w:val="%9."/>
      <w:lvlJc w:val="right"/>
      <w:pPr>
        <w:ind w:left="6480" w:hanging="180"/>
      </w:pPr>
    </w:lvl>
  </w:abstractNum>
  <w:abstractNum w:abstractNumId="1" w15:restartNumberingAfterBreak="0">
    <w:nsid w:val="17E05836"/>
    <w:multiLevelType w:val="hybridMultilevel"/>
    <w:tmpl w:val="D2AEDCAA"/>
    <w:lvl w:ilvl="0" w:tplc="1B026F2C">
      <w:start w:val="1"/>
      <w:numFmt w:val="bullet"/>
      <w:lvlText w:val=""/>
      <w:lvlJc w:val="left"/>
      <w:pPr>
        <w:ind w:left="720" w:hanging="360"/>
      </w:pPr>
      <w:rPr>
        <w:rFonts w:ascii="Symbol" w:hAnsi="Symbol" w:hint="default"/>
      </w:rPr>
    </w:lvl>
    <w:lvl w:ilvl="1" w:tplc="6E260766">
      <w:start w:val="1"/>
      <w:numFmt w:val="bullet"/>
      <w:lvlText w:val="o"/>
      <w:lvlJc w:val="left"/>
      <w:pPr>
        <w:ind w:left="1440" w:hanging="360"/>
      </w:pPr>
      <w:rPr>
        <w:rFonts w:ascii="Courier New" w:hAnsi="Courier New" w:hint="default"/>
      </w:rPr>
    </w:lvl>
    <w:lvl w:ilvl="2" w:tplc="37288334">
      <w:start w:val="1"/>
      <w:numFmt w:val="bullet"/>
      <w:lvlText w:val=""/>
      <w:lvlJc w:val="left"/>
      <w:pPr>
        <w:ind w:left="2160" w:hanging="360"/>
      </w:pPr>
      <w:rPr>
        <w:rFonts w:ascii="Wingdings" w:hAnsi="Wingdings" w:hint="default"/>
      </w:rPr>
    </w:lvl>
    <w:lvl w:ilvl="3" w:tplc="DB1A0154">
      <w:start w:val="1"/>
      <w:numFmt w:val="bullet"/>
      <w:lvlText w:val=""/>
      <w:lvlJc w:val="left"/>
      <w:pPr>
        <w:ind w:left="2880" w:hanging="360"/>
      </w:pPr>
      <w:rPr>
        <w:rFonts w:ascii="Symbol" w:hAnsi="Symbol" w:hint="default"/>
      </w:rPr>
    </w:lvl>
    <w:lvl w:ilvl="4" w:tplc="753E65CE">
      <w:start w:val="1"/>
      <w:numFmt w:val="bullet"/>
      <w:lvlText w:val="o"/>
      <w:lvlJc w:val="left"/>
      <w:pPr>
        <w:ind w:left="3600" w:hanging="360"/>
      </w:pPr>
      <w:rPr>
        <w:rFonts w:ascii="Courier New" w:hAnsi="Courier New" w:hint="default"/>
      </w:rPr>
    </w:lvl>
    <w:lvl w:ilvl="5" w:tplc="10B41F28">
      <w:start w:val="1"/>
      <w:numFmt w:val="bullet"/>
      <w:lvlText w:val=""/>
      <w:lvlJc w:val="left"/>
      <w:pPr>
        <w:ind w:left="4320" w:hanging="360"/>
      </w:pPr>
      <w:rPr>
        <w:rFonts w:ascii="Wingdings" w:hAnsi="Wingdings" w:hint="default"/>
      </w:rPr>
    </w:lvl>
    <w:lvl w:ilvl="6" w:tplc="C45EEDC4">
      <w:start w:val="1"/>
      <w:numFmt w:val="bullet"/>
      <w:lvlText w:val=""/>
      <w:lvlJc w:val="left"/>
      <w:pPr>
        <w:ind w:left="5040" w:hanging="360"/>
      </w:pPr>
      <w:rPr>
        <w:rFonts w:ascii="Symbol" w:hAnsi="Symbol" w:hint="default"/>
      </w:rPr>
    </w:lvl>
    <w:lvl w:ilvl="7" w:tplc="FEB63942">
      <w:start w:val="1"/>
      <w:numFmt w:val="bullet"/>
      <w:lvlText w:val="o"/>
      <w:lvlJc w:val="left"/>
      <w:pPr>
        <w:ind w:left="5760" w:hanging="360"/>
      </w:pPr>
      <w:rPr>
        <w:rFonts w:ascii="Courier New" w:hAnsi="Courier New" w:hint="default"/>
      </w:rPr>
    </w:lvl>
    <w:lvl w:ilvl="8" w:tplc="EB2A52B6">
      <w:start w:val="1"/>
      <w:numFmt w:val="bullet"/>
      <w:lvlText w:val=""/>
      <w:lvlJc w:val="left"/>
      <w:pPr>
        <w:ind w:left="6480" w:hanging="360"/>
      </w:pPr>
      <w:rPr>
        <w:rFonts w:ascii="Wingdings" w:hAnsi="Wingdings" w:hint="default"/>
      </w:rPr>
    </w:lvl>
  </w:abstractNum>
  <w:abstractNum w:abstractNumId="2" w15:restartNumberingAfterBreak="0">
    <w:nsid w:val="18330664"/>
    <w:multiLevelType w:val="hybridMultilevel"/>
    <w:tmpl w:val="CF30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20A3E"/>
    <w:multiLevelType w:val="hybridMultilevel"/>
    <w:tmpl w:val="27BCDFEC"/>
    <w:lvl w:ilvl="0" w:tplc="20DCDCEE">
      <w:start w:val="1"/>
      <w:numFmt w:val="bullet"/>
      <w:lvlText w:val=""/>
      <w:lvlJc w:val="left"/>
      <w:pPr>
        <w:tabs>
          <w:tab w:val="num" w:pos="720"/>
        </w:tabs>
        <w:ind w:left="720" w:hanging="360"/>
      </w:pPr>
      <w:rPr>
        <w:rFonts w:ascii="Symbol" w:hAnsi="Symbol" w:hint="default"/>
      </w:rPr>
    </w:lvl>
    <w:lvl w:ilvl="1" w:tplc="48BA6D48" w:tentative="1">
      <w:start w:val="1"/>
      <w:numFmt w:val="bullet"/>
      <w:lvlText w:val=""/>
      <w:lvlJc w:val="left"/>
      <w:pPr>
        <w:tabs>
          <w:tab w:val="num" w:pos="1440"/>
        </w:tabs>
        <w:ind w:left="1440" w:hanging="360"/>
      </w:pPr>
      <w:rPr>
        <w:rFonts w:ascii="Symbol" w:hAnsi="Symbol" w:hint="default"/>
      </w:rPr>
    </w:lvl>
    <w:lvl w:ilvl="2" w:tplc="E020C5B2" w:tentative="1">
      <w:start w:val="1"/>
      <w:numFmt w:val="bullet"/>
      <w:lvlText w:val=""/>
      <w:lvlJc w:val="left"/>
      <w:pPr>
        <w:tabs>
          <w:tab w:val="num" w:pos="2160"/>
        </w:tabs>
        <w:ind w:left="2160" w:hanging="360"/>
      </w:pPr>
      <w:rPr>
        <w:rFonts w:ascii="Symbol" w:hAnsi="Symbol" w:hint="default"/>
      </w:rPr>
    </w:lvl>
    <w:lvl w:ilvl="3" w:tplc="BF5CC848" w:tentative="1">
      <w:start w:val="1"/>
      <w:numFmt w:val="bullet"/>
      <w:lvlText w:val=""/>
      <w:lvlJc w:val="left"/>
      <w:pPr>
        <w:tabs>
          <w:tab w:val="num" w:pos="2880"/>
        </w:tabs>
        <w:ind w:left="2880" w:hanging="360"/>
      </w:pPr>
      <w:rPr>
        <w:rFonts w:ascii="Symbol" w:hAnsi="Symbol" w:hint="default"/>
      </w:rPr>
    </w:lvl>
    <w:lvl w:ilvl="4" w:tplc="0F4AEC8E" w:tentative="1">
      <w:start w:val="1"/>
      <w:numFmt w:val="bullet"/>
      <w:lvlText w:val=""/>
      <w:lvlJc w:val="left"/>
      <w:pPr>
        <w:tabs>
          <w:tab w:val="num" w:pos="3600"/>
        </w:tabs>
        <w:ind w:left="3600" w:hanging="360"/>
      </w:pPr>
      <w:rPr>
        <w:rFonts w:ascii="Symbol" w:hAnsi="Symbol" w:hint="default"/>
      </w:rPr>
    </w:lvl>
    <w:lvl w:ilvl="5" w:tplc="BADE5BA8" w:tentative="1">
      <w:start w:val="1"/>
      <w:numFmt w:val="bullet"/>
      <w:lvlText w:val=""/>
      <w:lvlJc w:val="left"/>
      <w:pPr>
        <w:tabs>
          <w:tab w:val="num" w:pos="4320"/>
        </w:tabs>
        <w:ind w:left="4320" w:hanging="360"/>
      </w:pPr>
      <w:rPr>
        <w:rFonts w:ascii="Symbol" w:hAnsi="Symbol" w:hint="default"/>
      </w:rPr>
    </w:lvl>
    <w:lvl w:ilvl="6" w:tplc="AC1671A8" w:tentative="1">
      <w:start w:val="1"/>
      <w:numFmt w:val="bullet"/>
      <w:lvlText w:val=""/>
      <w:lvlJc w:val="left"/>
      <w:pPr>
        <w:tabs>
          <w:tab w:val="num" w:pos="5040"/>
        </w:tabs>
        <w:ind w:left="5040" w:hanging="360"/>
      </w:pPr>
      <w:rPr>
        <w:rFonts w:ascii="Symbol" w:hAnsi="Symbol" w:hint="default"/>
      </w:rPr>
    </w:lvl>
    <w:lvl w:ilvl="7" w:tplc="B9629104" w:tentative="1">
      <w:start w:val="1"/>
      <w:numFmt w:val="bullet"/>
      <w:lvlText w:val=""/>
      <w:lvlJc w:val="left"/>
      <w:pPr>
        <w:tabs>
          <w:tab w:val="num" w:pos="5760"/>
        </w:tabs>
        <w:ind w:left="5760" w:hanging="360"/>
      </w:pPr>
      <w:rPr>
        <w:rFonts w:ascii="Symbol" w:hAnsi="Symbol" w:hint="default"/>
      </w:rPr>
    </w:lvl>
    <w:lvl w:ilvl="8" w:tplc="D4543D3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0154A7"/>
    <w:multiLevelType w:val="multilevel"/>
    <w:tmpl w:val="8A22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00A63"/>
    <w:multiLevelType w:val="multilevel"/>
    <w:tmpl w:val="5EF6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18188E"/>
    <w:multiLevelType w:val="hybridMultilevel"/>
    <w:tmpl w:val="5D480E0A"/>
    <w:lvl w:ilvl="0" w:tplc="00C838DE">
      <w:start w:val="1"/>
      <w:numFmt w:val="bullet"/>
      <w:lvlText w:val=""/>
      <w:lvlJc w:val="left"/>
      <w:pPr>
        <w:ind w:left="720" w:hanging="360"/>
      </w:pPr>
      <w:rPr>
        <w:rFonts w:ascii="Symbol" w:hAnsi="Symbol" w:hint="default"/>
      </w:rPr>
    </w:lvl>
    <w:lvl w:ilvl="1" w:tplc="EFAE9AD2">
      <w:start w:val="1"/>
      <w:numFmt w:val="bullet"/>
      <w:lvlText w:val="o"/>
      <w:lvlJc w:val="left"/>
      <w:pPr>
        <w:ind w:left="1440" w:hanging="360"/>
      </w:pPr>
      <w:rPr>
        <w:rFonts w:ascii="Courier New" w:hAnsi="Courier New" w:hint="default"/>
      </w:rPr>
    </w:lvl>
    <w:lvl w:ilvl="2" w:tplc="D70C7AC0">
      <w:start w:val="1"/>
      <w:numFmt w:val="bullet"/>
      <w:lvlText w:val=""/>
      <w:lvlJc w:val="left"/>
      <w:pPr>
        <w:ind w:left="2160" w:hanging="360"/>
      </w:pPr>
      <w:rPr>
        <w:rFonts w:ascii="Wingdings" w:hAnsi="Wingdings" w:hint="default"/>
      </w:rPr>
    </w:lvl>
    <w:lvl w:ilvl="3" w:tplc="BD285A40">
      <w:start w:val="1"/>
      <w:numFmt w:val="bullet"/>
      <w:lvlText w:val=""/>
      <w:lvlJc w:val="left"/>
      <w:pPr>
        <w:ind w:left="2880" w:hanging="360"/>
      </w:pPr>
      <w:rPr>
        <w:rFonts w:ascii="Symbol" w:hAnsi="Symbol" w:hint="default"/>
      </w:rPr>
    </w:lvl>
    <w:lvl w:ilvl="4" w:tplc="D038A2AE">
      <w:start w:val="1"/>
      <w:numFmt w:val="bullet"/>
      <w:lvlText w:val="o"/>
      <w:lvlJc w:val="left"/>
      <w:pPr>
        <w:ind w:left="3600" w:hanging="360"/>
      </w:pPr>
      <w:rPr>
        <w:rFonts w:ascii="Courier New" w:hAnsi="Courier New" w:hint="default"/>
      </w:rPr>
    </w:lvl>
    <w:lvl w:ilvl="5" w:tplc="8D38230A">
      <w:start w:val="1"/>
      <w:numFmt w:val="bullet"/>
      <w:lvlText w:val=""/>
      <w:lvlJc w:val="left"/>
      <w:pPr>
        <w:ind w:left="4320" w:hanging="360"/>
      </w:pPr>
      <w:rPr>
        <w:rFonts w:ascii="Wingdings" w:hAnsi="Wingdings" w:hint="default"/>
      </w:rPr>
    </w:lvl>
    <w:lvl w:ilvl="6" w:tplc="7E5C3100">
      <w:start w:val="1"/>
      <w:numFmt w:val="bullet"/>
      <w:lvlText w:val=""/>
      <w:lvlJc w:val="left"/>
      <w:pPr>
        <w:ind w:left="5040" w:hanging="360"/>
      </w:pPr>
      <w:rPr>
        <w:rFonts w:ascii="Symbol" w:hAnsi="Symbol" w:hint="default"/>
      </w:rPr>
    </w:lvl>
    <w:lvl w:ilvl="7" w:tplc="5776ABE4">
      <w:start w:val="1"/>
      <w:numFmt w:val="bullet"/>
      <w:lvlText w:val="o"/>
      <w:lvlJc w:val="left"/>
      <w:pPr>
        <w:ind w:left="5760" w:hanging="360"/>
      </w:pPr>
      <w:rPr>
        <w:rFonts w:ascii="Courier New" w:hAnsi="Courier New" w:hint="default"/>
      </w:rPr>
    </w:lvl>
    <w:lvl w:ilvl="8" w:tplc="BF661CCC">
      <w:start w:val="1"/>
      <w:numFmt w:val="bullet"/>
      <w:lvlText w:val=""/>
      <w:lvlJc w:val="left"/>
      <w:pPr>
        <w:ind w:left="6480" w:hanging="360"/>
      </w:pPr>
      <w:rPr>
        <w:rFonts w:ascii="Wingdings" w:hAnsi="Wingdings" w:hint="default"/>
      </w:rPr>
    </w:lvl>
  </w:abstractNum>
  <w:abstractNum w:abstractNumId="7" w15:restartNumberingAfterBreak="0">
    <w:nsid w:val="328B36B5"/>
    <w:multiLevelType w:val="hybridMultilevel"/>
    <w:tmpl w:val="00C4D0EA"/>
    <w:lvl w:ilvl="0" w:tplc="52CCCAAE">
      <w:start w:val="1"/>
      <w:numFmt w:val="bullet"/>
      <w:lvlText w:val="•"/>
      <w:lvlJc w:val="left"/>
      <w:pPr>
        <w:tabs>
          <w:tab w:val="num" w:pos="720"/>
        </w:tabs>
        <w:ind w:left="720" w:hanging="360"/>
      </w:pPr>
      <w:rPr>
        <w:rFonts w:ascii="Arial" w:hAnsi="Arial" w:hint="default"/>
      </w:rPr>
    </w:lvl>
    <w:lvl w:ilvl="1" w:tplc="10422B20" w:tentative="1">
      <w:start w:val="1"/>
      <w:numFmt w:val="bullet"/>
      <w:lvlText w:val="•"/>
      <w:lvlJc w:val="left"/>
      <w:pPr>
        <w:tabs>
          <w:tab w:val="num" w:pos="1440"/>
        </w:tabs>
        <w:ind w:left="1440" w:hanging="360"/>
      </w:pPr>
      <w:rPr>
        <w:rFonts w:ascii="Arial" w:hAnsi="Arial" w:hint="default"/>
      </w:rPr>
    </w:lvl>
    <w:lvl w:ilvl="2" w:tplc="AF3AE58A" w:tentative="1">
      <w:start w:val="1"/>
      <w:numFmt w:val="bullet"/>
      <w:lvlText w:val="•"/>
      <w:lvlJc w:val="left"/>
      <w:pPr>
        <w:tabs>
          <w:tab w:val="num" w:pos="2160"/>
        </w:tabs>
        <w:ind w:left="2160" w:hanging="360"/>
      </w:pPr>
      <w:rPr>
        <w:rFonts w:ascii="Arial" w:hAnsi="Arial" w:hint="default"/>
      </w:rPr>
    </w:lvl>
    <w:lvl w:ilvl="3" w:tplc="6B8E9B64" w:tentative="1">
      <w:start w:val="1"/>
      <w:numFmt w:val="bullet"/>
      <w:lvlText w:val="•"/>
      <w:lvlJc w:val="left"/>
      <w:pPr>
        <w:tabs>
          <w:tab w:val="num" w:pos="2880"/>
        </w:tabs>
        <w:ind w:left="2880" w:hanging="360"/>
      </w:pPr>
      <w:rPr>
        <w:rFonts w:ascii="Arial" w:hAnsi="Arial" w:hint="default"/>
      </w:rPr>
    </w:lvl>
    <w:lvl w:ilvl="4" w:tplc="BF3AB45C" w:tentative="1">
      <w:start w:val="1"/>
      <w:numFmt w:val="bullet"/>
      <w:lvlText w:val="•"/>
      <w:lvlJc w:val="left"/>
      <w:pPr>
        <w:tabs>
          <w:tab w:val="num" w:pos="3600"/>
        </w:tabs>
        <w:ind w:left="3600" w:hanging="360"/>
      </w:pPr>
      <w:rPr>
        <w:rFonts w:ascii="Arial" w:hAnsi="Arial" w:hint="default"/>
      </w:rPr>
    </w:lvl>
    <w:lvl w:ilvl="5" w:tplc="C194F55E" w:tentative="1">
      <w:start w:val="1"/>
      <w:numFmt w:val="bullet"/>
      <w:lvlText w:val="•"/>
      <w:lvlJc w:val="left"/>
      <w:pPr>
        <w:tabs>
          <w:tab w:val="num" w:pos="4320"/>
        </w:tabs>
        <w:ind w:left="4320" w:hanging="360"/>
      </w:pPr>
      <w:rPr>
        <w:rFonts w:ascii="Arial" w:hAnsi="Arial" w:hint="default"/>
      </w:rPr>
    </w:lvl>
    <w:lvl w:ilvl="6" w:tplc="A25C3236" w:tentative="1">
      <w:start w:val="1"/>
      <w:numFmt w:val="bullet"/>
      <w:lvlText w:val="•"/>
      <w:lvlJc w:val="left"/>
      <w:pPr>
        <w:tabs>
          <w:tab w:val="num" w:pos="5040"/>
        </w:tabs>
        <w:ind w:left="5040" w:hanging="360"/>
      </w:pPr>
      <w:rPr>
        <w:rFonts w:ascii="Arial" w:hAnsi="Arial" w:hint="default"/>
      </w:rPr>
    </w:lvl>
    <w:lvl w:ilvl="7" w:tplc="B1488C18" w:tentative="1">
      <w:start w:val="1"/>
      <w:numFmt w:val="bullet"/>
      <w:lvlText w:val="•"/>
      <w:lvlJc w:val="left"/>
      <w:pPr>
        <w:tabs>
          <w:tab w:val="num" w:pos="5760"/>
        </w:tabs>
        <w:ind w:left="5760" w:hanging="360"/>
      </w:pPr>
      <w:rPr>
        <w:rFonts w:ascii="Arial" w:hAnsi="Arial" w:hint="default"/>
      </w:rPr>
    </w:lvl>
    <w:lvl w:ilvl="8" w:tplc="DFD0B0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8A4529"/>
    <w:multiLevelType w:val="hybridMultilevel"/>
    <w:tmpl w:val="2B549F4C"/>
    <w:lvl w:ilvl="0" w:tplc="1F4AB0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7F72"/>
    <w:multiLevelType w:val="multilevel"/>
    <w:tmpl w:val="2DC4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C6293"/>
    <w:multiLevelType w:val="hybridMultilevel"/>
    <w:tmpl w:val="1FDED590"/>
    <w:lvl w:ilvl="0" w:tplc="AE6AAB36">
      <w:start w:val="1"/>
      <w:numFmt w:val="bullet"/>
      <w:lvlText w:val=""/>
      <w:lvlJc w:val="left"/>
      <w:pPr>
        <w:ind w:left="720" w:hanging="360"/>
      </w:pPr>
      <w:rPr>
        <w:rFonts w:ascii="Symbol" w:hAnsi="Symbol" w:hint="default"/>
      </w:rPr>
    </w:lvl>
    <w:lvl w:ilvl="1" w:tplc="E2E4FFCA">
      <w:start w:val="1"/>
      <w:numFmt w:val="bullet"/>
      <w:lvlText w:val="o"/>
      <w:lvlJc w:val="left"/>
      <w:pPr>
        <w:ind w:left="1440" w:hanging="360"/>
      </w:pPr>
      <w:rPr>
        <w:rFonts w:ascii="Courier New" w:hAnsi="Courier New" w:hint="default"/>
      </w:rPr>
    </w:lvl>
    <w:lvl w:ilvl="2" w:tplc="ABF091B0">
      <w:start w:val="1"/>
      <w:numFmt w:val="bullet"/>
      <w:lvlText w:val=""/>
      <w:lvlJc w:val="left"/>
      <w:pPr>
        <w:ind w:left="2160" w:hanging="360"/>
      </w:pPr>
      <w:rPr>
        <w:rFonts w:ascii="Wingdings" w:hAnsi="Wingdings" w:hint="default"/>
      </w:rPr>
    </w:lvl>
    <w:lvl w:ilvl="3" w:tplc="B0CCFB82">
      <w:start w:val="1"/>
      <w:numFmt w:val="bullet"/>
      <w:lvlText w:val=""/>
      <w:lvlJc w:val="left"/>
      <w:pPr>
        <w:ind w:left="2880" w:hanging="360"/>
      </w:pPr>
      <w:rPr>
        <w:rFonts w:ascii="Symbol" w:hAnsi="Symbol" w:hint="default"/>
      </w:rPr>
    </w:lvl>
    <w:lvl w:ilvl="4" w:tplc="77208934">
      <w:start w:val="1"/>
      <w:numFmt w:val="bullet"/>
      <w:lvlText w:val="o"/>
      <w:lvlJc w:val="left"/>
      <w:pPr>
        <w:ind w:left="3600" w:hanging="360"/>
      </w:pPr>
      <w:rPr>
        <w:rFonts w:ascii="Courier New" w:hAnsi="Courier New" w:hint="default"/>
      </w:rPr>
    </w:lvl>
    <w:lvl w:ilvl="5" w:tplc="07B289E4">
      <w:start w:val="1"/>
      <w:numFmt w:val="bullet"/>
      <w:lvlText w:val=""/>
      <w:lvlJc w:val="left"/>
      <w:pPr>
        <w:ind w:left="4320" w:hanging="360"/>
      </w:pPr>
      <w:rPr>
        <w:rFonts w:ascii="Wingdings" w:hAnsi="Wingdings" w:hint="default"/>
      </w:rPr>
    </w:lvl>
    <w:lvl w:ilvl="6" w:tplc="7174F824">
      <w:start w:val="1"/>
      <w:numFmt w:val="bullet"/>
      <w:lvlText w:val=""/>
      <w:lvlJc w:val="left"/>
      <w:pPr>
        <w:ind w:left="5040" w:hanging="360"/>
      </w:pPr>
      <w:rPr>
        <w:rFonts w:ascii="Symbol" w:hAnsi="Symbol" w:hint="default"/>
      </w:rPr>
    </w:lvl>
    <w:lvl w:ilvl="7" w:tplc="46F24818">
      <w:start w:val="1"/>
      <w:numFmt w:val="bullet"/>
      <w:lvlText w:val="o"/>
      <w:lvlJc w:val="left"/>
      <w:pPr>
        <w:ind w:left="5760" w:hanging="360"/>
      </w:pPr>
      <w:rPr>
        <w:rFonts w:ascii="Courier New" w:hAnsi="Courier New" w:hint="default"/>
      </w:rPr>
    </w:lvl>
    <w:lvl w:ilvl="8" w:tplc="4B5678A8">
      <w:start w:val="1"/>
      <w:numFmt w:val="bullet"/>
      <w:lvlText w:val=""/>
      <w:lvlJc w:val="left"/>
      <w:pPr>
        <w:ind w:left="6480" w:hanging="360"/>
      </w:pPr>
      <w:rPr>
        <w:rFonts w:ascii="Wingdings" w:hAnsi="Wingdings" w:hint="default"/>
      </w:rPr>
    </w:lvl>
  </w:abstractNum>
  <w:abstractNum w:abstractNumId="11" w15:restartNumberingAfterBreak="0">
    <w:nsid w:val="6EEF17D4"/>
    <w:multiLevelType w:val="multilevel"/>
    <w:tmpl w:val="A56A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7E6E35"/>
    <w:multiLevelType w:val="hybridMultilevel"/>
    <w:tmpl w:val="40C0650A"/>
    <w:lvl w:ilvl="0" w:tplc="885CAD42">
      <w:start w:val="1"/>
      <w:numFmt w:val="bullet"/>
      <w:lvlText w:val=""/>
      <w:lvlJc w:val="left"/>
      <w:pPr>
        <w:ind w:left="720" w:hanging="360"/>
      </w:pPr>
      <w:rPr>
        <w:rFonts w:ascii="Symbol" w:hAnsi="Symbol" w:hint="default"/>
      </w:rPr>
    </w:lvl>
    <w:lvl w:ilvl="1" w:tplc="6504D24A">
      <w:start w:val="1"/>
      <w:numFmt w:val="bullet"/>
      <w:lvlText w:val="o"/>
      <w:lvlJc w:val="left"/>
      <w:pPr>
        <w:ind w:left="1440" w:hanging="360"/>
      </w:pPr>
      <w:rPr>
        <w:rFonts w:ascii="Courier New" w:hAnsi="Courier New" w:hint="default"/>
      </w:rPr>
    </w:lvl>
    <w:lvl w:ilvl="2" w:tplc="1BF84302">
      <w:start w:val="1"/>
      <w:numFmt w:val="bullet"/>
      <w:lvlText w:val=""/>
      <w:lvlJc w:val="left"/>
      <w:pPr>
        <w:ind w:left="2160" w:hanging="360"/>
      </w:pPr>
      <w:rPr>
        <w:rFonts w:ascii="Wingdings" w:hAnsi="Wingdings" w:hint="default"/>
      </w:rPr>
    </w:lvl>
    <w:lvl w:ilvl="3" w:tplc="1EDC48A2">
      <w:start w:val="1"/>
      <w:numFmt w:val="bullet"/>
      <w:lvlText w:val=""/>
      <w:lvlJc w:val="left"/>
      <w:pPr>
        <w:ind w:left="2880" w:hanging="360"/>
      </w:pPr>
      <w:rPr>
        <w:rFonts w:ascii="Symbol" w:hAnsi="Symbol" w:hint="default"/>
      </w:rPr>
    </w:lvl>
    <w:lvl w:ilvl="4" w:tplc="EABCE616">
      <w:start w:val="1"/>
      <w:numFmt w:val="bullet"/>
      <w:lvlText w:val="o"/>
      <w:lvlJc w:val="left"/>
      <w:pPr>
        <w:ind w:left="3600" w:hanging="360"/>
      </w:pPr>
      <w:rPr>
        <w:rFonts w:ascii="Courier New" w:hAnsi="Courier New" w:hint="default"/>
      </w:rPr>
    </w:lvl>
    <w:lvl w:ilvl="5" w:tplc="6E78851E">
      <w:start w:val="1"/>
      <w:numFmt w:val="bullet"/>
      <w:lvlText w:val=""/>
      <w:lvlJc w:val="left"/>
      <w:pPr>
        <w:ind w:left="4320" w:hanging="360"/>
      </w:pPr>
      <w:rPr>
        <w:rFonts w:ascii="Wingdings" w:hAnsi="Wingdings" w:hint="default"/>
      </w:rPr>
    </w:lvl>
    <w:lvl w:ilvl="6" w:tplc="64FA62AC">
      <w:start w:val="1"/>
      <w:numFmt w:val="bullet"/>
      <w:lvlText w:val=""/>
      <w:lvlJc w:val="left"/>
      <w:pPr>
        <w:ind w:left="5040" w:hanging="360"/>
      </w:pPr>
      <w:rPr>
        <w:rFonts w:ascii="Symbol" w:hAnsi="Symbol" w:hint="default"/>
      </w:rPr>
    </w:lvl>
    <w:lvl w:ilvl="7" w:tplc="FF341F32">
      <w:start w:val="1"/>
      <w:numFmt w:val="bullet"/>
      <w:lvlText w:val="o"/>
      <w:lvlJc w:val="left"/>
      <w:pPr>
        <w:ind w:left="5760" w:hanging="360"/>
      </w:pPr>
      <w:rPr>
        <w:rFonts w:ascii="Courier New" w:hAnsi="Courier New" w:hint="default"/>
      </w:rPr>
    </w:lvl>
    <w:lvl w:ilvl="8" w:tplc="2A22A55E">
      <w:start w:val="1"/>
      <w:numFmt w:val="bullet"/>
      <w:lvlText w:val=""/>
      <w:lvlJc w:val="left"/>
      <w:pPr>
        <w:ind w:left="6480" w:hanging="360"/>
      </w:pPr>
      <w:rPr>
        <w:rFonts w:ascii="Wingdings" w:hAnsi="Wingdings" w:hint="default"/>
      </w:rPr>
    </w:lvl>
  </w:abstractNum>
  <w:abstractNum w:abstractNumId="13" w15:restartNumberingAfterBreak="0">
    <w:nsid w:val="7A20384B"/>
    <w:multiLevelType w:val="hybridMultilevel"/>
    <w:tmpl w:val="8E18A4F8"/>
    <w:lvl w:ilvl="0" w:tplc="65C81BFC">
      <w:start w:val="1"/>
      <w:numFmt w:val="bullet"/>
      <w:lvlText w:val=""/>
      <w:lvlJc w:val="left"/>
      <w:pPr>
        <w:ind w:left="720" w:hanging="360"/>
      </w:pPr>
      <w:rPr>
        <w:rFonts w:ascii="Symbol" w:hAnsi="Symbol" w:hint="default"/>
      </w:rPr>
    </w:lvl>
    <w:lvl w:ilvl="1" w:tplc="164A87D8">
      <w:start w:val="1"/>
      <w:numFmt w:val="bullet"/>
      <w:lvlText w:val="o"/>
      <w:lvlJc w:val="left"/>
      <w:pPr>
        <w:ind w:left="1440" w:hanging="360"/>
      </w:pPr>
      <w:rPr>
        <w:rFonts w:ascii="Courier New" w:hAnsi="Courier New" w:hint="default"/>
      </w:rPr>
    </w:lvl>
    <w:lvl w:ilvl="2" w:tplc="F04AFCFA">
      <w:start w:val="1"/>
      <w:numFmt w:val="bullet"/>
      <w:lvlText w:val=""/>
      <w:lvlJc w:val="left"/>
      <w:pPr>
        <w:ind w:left="2160" w:hanging="360"/>
      </w:pPr>
      <w:rPr>
        <w:rFonts w:ascii="Wingdings" w:hAnsi="Wingdings" w:hint="default"/>
      </w:rPr>
    </w:lvl>
    <w:lvl w:ilvl="3" w:tplc="98D0C7B0">
      <w:start w:val="1"/>
      <w:numFmt w:val="bullet"/>
      <w:lvlText w:val=""/>
      <w:lvlJc w:val="left"/>
      <w:pPr>
        <w:ind w:left="2880" w:hanging="360"/>
      </w:pPr>
      <w:rPr>
        <w:rFonts w:ascii="Symbol" w:hAnsi="Symbol" w:hint="default"/>
      </w:rPr>
    </w:lvl>
    <w:lvl w:ilvl="4" w:tplc="6450EC86">
      <w:start w:val="1"/>
      <w:numFmt w:val="bullet"/>
      <w:lvlText w:val="o"/>
      <w:lvlJc w:val="left"/>
      <w:pPr>
        <w:ind w:left="3600" w:hanging="360"/>
      </w:pPr>
      <w:rPr>
        <w:rFonts w:ascii="Courier New" w:hAnsi="Courier New" w:hint="default"/>
      </w:rPr>
    </w:lvl>
    <w:lvl w:ilvl="5" w:tplc="7E54E7CA">
      <w:start w:val="1"/>
      <w:numFmt w:val="bullet"/>
      <w:lvlText w:val=""/>
      <w:lvlJc w:val="left"/>
      <w:pPr>
        <w:ind w:left="4320" w:hanging="360"/>
      </w:pPr>
      <w:rPr>
        <w:rFonts w:ascii="Wingdings" w:hAnsi="Wingdings" w:hint="default"/>
      </w:rPr>
    </w:lvl>
    <w:lvl w:ilvl="6" w:tplc="D13A4064">
      <w:start w:val="1"/>
      <w:numFmt w:val="bullet"/>
      <w:lvlText w:val=""/>
      <w:lvlJc w:val="left"/>
      <w:pPr>
        <w:ind w:left="5040" w:hanging="360"/>
      </w:pPr>
      <w:rPr>
        <w:rFonts w:ascii="Symbol" w:hAnsi="Symbol" w:hint="default"/>
      </w:rPr>
    </w:lvl>
    <w:lvl w:ilvl="7" w:tplc="9B1607A6">
      <w:start w:val="1"/>
      <w:numFmt w:val="bullet"/>
      <w:lvlText w:val="o"/>
      <w:lvlJc w:val="left"/>
      <w:pPr>
        <w:ind w:left="5760" w:hanging="360"/>
      </w:pPr>
      <w:rPr>
        <w:rFonts w:ascii="Courier New" w:hAnsi="Courier New" w:hint="default"/>
      </w:rPr>
    </w:lvl>
    <w:lvl w:ilvl="8" w:tplc="C276D192">
      <w:start w:val="1"/>
      <w:numFmt w:val="bullet"/>
      <w:lvlText w:val=""/>
      <w:lvlJc w:val="left"/>
      <w:pPr>
        <w:ind w:left="6480" w:hanging="360"/>
      </w:pPr>
      <w:rPr>
        <w:rFonts w:ascii="Wingdings" w:hAnsi="Wingdings" w:hint="default"/>
      </w:rPr>
    </w:lvl>
  </w:abstractNum>
  <w:num w:numId="1" w16cid:durableId="1496411866">
    <w:abstractNumId w:val="10"/>
  </w:num>
  <w:num w:numId="2" w16cid:durableId="1778065586">
    <w:abstractNumId w:val="1"/>
  </w:num>
  <w:num w:numId="3" w16cid:durableId="2054304922">
    <w:abstractNumId w:val="13"/>
  </w:num>
  <w:num w:numId="4" w16cid:durableId="1590313511">
    <w:abstractNumId w:val="12"/>
  </w:num>
  <w:num w:numId="5" w16cid:durableId="1941331503">
    <w:abstractNumId w:val="6"/>
  </w:num>
  <w:num w:numId="6" w16cid:durableId="93020563">
    <w:abstractNumId w:val="0"/>
  </w:num>
  <w:num w:numId="7" w16cid:durableId="1918591766">
    <w:abstractNumId w:val="8"/>
  </w:num>
  <w:num w:numId="8" w16cid:durableId="997074024">
    <w:abstractNumId w:val="2"/>
  </w:num>
  <w:num w:numId="9" w16cid:durableId="605121234">
    <w:abstractNumId w:val="4"/>
  </w:num>
  <w:num w:numId="10" w16cid:durableId="495800066">
    <w:abstractNumId w:val="9"/>
  </w:num>
  <w:num w:numId="11" w16cid:durableId="2106146593">
    <w:abstractNumId w:val="7"/>
  </w:num>
  <w:num w:numId="12" w16cid:durableId="1526559963">
    <w:abstractNumId w:val="3"/>
  </w:num>
  <w:num w:numId="13" w16cid:durableId="292946925">
    <w:abstractNumId w:val="5"/>
  </w:num>
  <w:num w:numId="14" w16cid:durableId="105589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79"/>
    <w:rsid w:val="0000324A"/>
    <w:rsid w:val="0000638D"/>
    <w:rsid w:val="00006694"/>
    <w:rsid w:val="00007C0A"/>
    <w:rsid w:val="000118E2"/>
    <w:rsid w:val="00013F4B"/>
    <w:rsid w:val="0002279B"/>
    <w:rsid w:val="00024F83"/>
    <w:rsid w:val="00030C3B"/>
    <w:rsid w:val="00030E9D"/>
    <w:rsid w:val="000355FB"/>
    <w:rsid w:val="00043081"/>
    <w:rsid w:val="00045EF2"/>
    <w:rsid w:val="0005383E"/>
    <w:rsid w:val="00053CDD"/>
    <w:rsid w:val="00055F02"/>
    <w:rsid w:val="00056AD7"/>
    <w:rsid w:val="000573AE"/>
    <w:rsid w:val="0007442E"/>
    <w:rsid w:val="000772EB"/>
    <w:rsid w:val="0007774E"/>
    <w:rsid w:val="000815F8"/>
    <w:rsid w:val="000850D6"/>
    <w:rsid w:val="00094F89"/>
    <w:rsid w:val="000967A2"/>
    <w:rsid w:val="000978C2"/>
    <w:rsid w:val="000A0AFE"/>
    <w:rsid w:val="000A1889"/>
    <w:rsid w:val="000A27C2"/>
    <w:rsid w:val="000A4A02"/>
    <w:rsid w:val="000A7AED"/>
    <w:rsid w:val="000B5189"/>
    <w:rsid w:val="000B63C2"/>
    <w:rsid w:val="000B798A"/>
    <w:rsid w:val="000D0F6A"/>
    <w:rsid w:val="000D198D"/>
    <w:rsid w:val="000D5752"/>
    <w:rsid w:val="000D5D56"/>
    <w:rsid w:val="000D6AC4"/>
    <w:rsid w:val="000D743B"/>
    <w:rsid w:val="000E47A2"/>
    <w:rsid w:val="000F310B"/>
    <w:rsid w:val="000F515A"/>
    <w:rsid w:val="000F56D7"/>
    <w:rsid w:val="000F6C2E"/>
    <w:rsid w:val="0010301A"/>
    <w:rsid w:val="00104864"/>
    <w:rsid w:val="001113CE"/>
    <w:rsid w:val="00112AB6"/>
    <w:rsid w:val="00113050"/>
    <w:rsid w:val="00114753"/>
    <w:rsid w:val="001150EB"/>
    <w:rsid w:val="00124542"/>
    <w:rsid w:val="00127105"/>
    <w:rsid w:val="00130B28"/>
    <w:rsid w:val="00131895"/>
    <w:rsid w:val="001322ED"/>
    <w:rsid w:val="00132842"/>
    <w:rsid w:val="00133444"/>
    <w:rsid w:val="001435F2"/>
    <w:rsid w:val="001439A8"/>
    <w:rsid w:val="001520CF"/>
    <w:rsid w:val="001532F8"/>
    <w:rsid w:val="00153C40"/>
    <w:rsid w:val="00166397"/>
    <w:rsid w:val="00167B64"/>
    <w:rsid w:val="001736CC"/>
    <w:rsid w:val="0017536B"/>
    <w:rsid w:val="00176B13"/>
    <w:rsid w:val="0018052D"/>
    <w:rsid w:val="0018248B"/>
    <w:rsid w:val="001846B6"/>
    <w:rsid w:val="00185FC0"/>
    <w:rsid w:val="001A5AC4"/>
    <w:rsid w:val="001B44AF"/>
    <w:rsid w:val="001B57AD"/>
    <w:rsid w:val="001B57EE"/>
    <w:rsid w:val="001B585C"/>
    <w:rsid w:val="001C1B3A"/>
    <w:rsid w:val="001C2209"/>
    <w:rsid w:val="001C2D0A"/>
    <w:rsid w:val="001C31E7"/>
    <w:rsid w:val="001D0761"/>
    <w:rsid w:val="001D2F28"/>
    <w:rsid w:val="001D3E36"/>
    <w:rsid w:val="001D716D"/>
    <w:rsid w:val="001E5309"/>
    <w:rsid w:val="001E6927"/>
    <w:rsid w:val="001E7799"/>
    <w:rsid w:val="001E7870"/>
    <w:rsid w:val="002016C0"/>
    <w:rsid w:val="00204272"/>
    <w:rsid w:val="00205B17"/>
    <w:rsid w:val="00207153"/>
    <w:rsid w:val="00210FC7"/>
    <w:rsid w:val="00213722"/>
    <w:rsid w:val="00226B3F"/>
    <w:rsid w:val="00226E65"/>
    <w:rsid w:val="002455AB"/>
    <w:rsid w:val="002548E7"/>
    <w:rsid w:val="0025506D"/>
    <w:rsid w:val="00255F62"/>
    <w:rsid w:val="002560F0"/>
    <w:rsid w:val="00265345"/>
    <w:rsid w:val="00266C2E"/>
    <w:rsid w:val="00267F70"/>
    <w:rsid w:val="0027151C"/>
    <w:rsid w:val="00271779"/>
    <w:rsid w:val="00273E2B"/>
    <w:rsid w:val="00281604"/>
    <w:rsid w:val="00282170"/>
    <w:rsid w:val="00282C51"/>
    <w:rsid w:val="00283EBE"/>
    <w:rsid w:val="0028538C"/>
    <w:rsid w:val="00290DAB"/>
    <w:rsid w:val="00292292"/>
    <w:rsid w:val="002926D0"/>
    <w:rsid w:val="002A4B7A"/>
    <w:rsid w:val="002B0C43"/>
    <w:rsid w:val="002C0452"/>
    <w:rsid w:val="002C1B83"/>
    <w:rsid w:val="002C1F3D"/>
    <w:rsid w:val="002C3C42"/>
    <w:rsid w:val="002C48B3"/>
    <w:rsid w:val="002C61E0"/>
    <w:rsid w:val="002E125D"/>
    <w:rsid w:val="002E6553"/>
    <w:rsid w:val="002E774C"/>
    <w:rsid w:val="002F338C"/>
    <w:rsid w:val="002F3D3D"/>
    <w:rsid w:val="003006C2"/>
    <w:rsid w:val="00302C45"/>
    <w:rsid w:val="00304D12"/>
    <w:rsid w:val="00313D9D"/>
    <w:rsid w:val="00315F5A"/>
    <w:rsid w:val="00316000"/>
    <w:rsid w:val="00317B3D"/>
    <w:rsid w:val="0032056A"/>
    <w:rsid w:val="003221CF"/>
    <w:rsid w:val="00324D4D"/>
    <w:rsid w:val="00326DE8"/>
    <w:rsid w:val="003270BA"/>
    <w:rsid w:val="0032732F"/>
    <w:rsid w:val="00330B3A"/>
    <w:rsid w:val="003311D9"/>
    <w:rsid w:val="00352966"/>
    <w:rsid w:val="003529D0"/>
    <w:rsid w:val="00357FF5"/>
    <w:rsid w:val="003614CB"/>
    <w:rsid w:val="00363BA3"/>
    <w:rsid w:val="00364BF2"/>
    <w:rsid w:val="00365530"/>
    <w:rsid w:val="00367349"/>
    <w:rsid w:val="0036784C"/>
    <w:rsid w:val="00372824"/>
    <w:rsid w:val="00373291"/>
    <w:rsid w:val="00376A6D"/>
    <w:rsid w:val="00381477"/>
    <w:rsid w:val="00383B10"/>
    <w:rsid w:val="00385A32"/>
    <w:rsid w:val="00387AA9"/>
    <w:rsid w:val="00395351"/>
    <w:rsid w:val="003963B9"/>
    <w:rsid w:val="003B7B6B"/>
    <w:rsid w:val="003C79F9"/>
    <w:rsid w:val="003D082E"/>
    <w:rsid w:val="003D388B"/>
    <w:rsid w:val="003E4959"/>
    <w:rsid w:val="003E4F58"/>
    <w:rsid w:val="003E533E"/>
    <w:rsid w:val="003F3E3D"/>
    <w:rsid w:val="003F5A0F"/>
    <w:rsid w:val="003F5CBF"/>
    <w:rsid w:val="003F6365"/>
    <w:rsid w:val="00400E4B"/>
    <w:rsid w:val="004015AA"/>
    <w:rsid w:val="00404B91"/>
    <w:rsid w:val="00406734"/>
    <w:rsid w:val="00410186"/>
    <w:rsid w:val="00412EE7"/>
    <w:rsid w:val="00422C1C"/>
    <w:rsid w:val="00425DF9"/>
    <w:rsid w:val="00427AE4"/>
    <w:rsid w:val="00430148"/>
    <w:rsid w:val="00434A8C"/>
    <w:rsid w:val="00451702"/>
    <w:rsid w:val="00453016"/>
    <w:rsid w:val="00454E89"/>
    <w:rsid w:val="00463887"/>
    <w:rsid w:val="004700F1"/>
    <w:rsid w:val="0047059A"/>
    <w:rsid w:val="0047598B"/>
    <w:rsid w:val="00477E22"/>
    <w:rsid w:val="004819B4"/>
    <w:rsid w:val="00486245"/>
    <w:rsid w:val="00490CE0"/>
    <w:rsid w:val="00492236"/>
    <w:rsid w:val="00496C4B"/>
    <w:rsid w:val="004A66FB"/>
    <w:rsid w:val="004A7358"/>
    <w:rsid w:val="004B3A55"/>
    <w:rsid w:val="004B71FB"/>
    <w:rsid w:val="004B79E8"/>
    <w:rsid w:val="004C296A"/>
    <w:rsid w:val="004D2CD7"/>
    <w:rsid w:val="004D3E33"/>
    <w:rsid w:val="004E31F8"/>
    <w:rsid w:val="004E3FD5"/>
    <w:rsid w:val="004F5780"/>
    <w:rsid w:val="004F7870"/>
    <w:rsid w:val="005005D2"/>
    <w:rsid w:val="005077EA"/>
    <w:rsid w:val="00513FAE"/>
    <w:rsid w:val="005171ED"/>
    <w:rsid w:val="00526F42"/>
    <w:rsid w:val="005275CF"/>
    <w:rsid w:val="00535793"/>
    <w:rsid w:val="005379F0"/>
    <w:rsid w:val="00545220"/>
    <w:rsid w:val="00547992"/>
    <w:rsid w:val="0055322F"/>
    <w:rsid w:val="005535F2"/>
    <w:rsid w:val="0056334F"/>
    <w:rsid w:val="005663C7"/>
    <w:rsid w:val="005708A0"/>
    <w:rsid w:val="0057251C"/>
    <w:rsid w:val="00573822"/>
    <w:rsid w:val="00580AF4"/>
    <w:rsid w:val="00581FA4"/>
    <w:rsid w:val="005905CF"/>
    <w:rsid w:val="00592299"/>
    <w:rsid w:val="00593221"/>
    <w:rsid w:val="00594165"/>
    <w:rsid w:val="00596291"/>
    <w:rsid w:val="005A24AD"/>
    <w:rsid w:val="005A4574"/>
    <w:rsid w:val="005A45C3"/>
    <w:rsid w:val="005A6705"/>
    <w:rsid w:val="005B19FE"/>
    <w:rsid w:val="005C0247"/>
    <w:rsid w:val="005C5AC5"/>
    <w:rsid w:val="005C7098"/>
    <w:rsid w:val="005D3BD6"/>
    <w:rsid w:val="005D780B"/>
    <w:rsid w:val="005E1F12"/>
    <w:rsid w:val="005E2931"/>
    <w:rsid w:val="005E3656"/>
    <w:rsid w:val="005E4D79"/>
    <w:rsid w:val="005E5C68"/>
    <w:rsid w:val="005F5250"/>
    <w:rsid w:val="005F6143"/>
    <w:rsid w:val="005F736D"/>
    <w:rsid w:val="0060582D"/>
    <w:rsid w:val="00606988"/>
    <w:rsid w:val="00610B34"/>
    <w:rsid w:val="00610EF1"/>
    <w:rsid w:val="006128F6"/>
    <w:rsid w:val="006148B3"/>
    <w:rsid w:val="00616606"/>
    <w:rsid w:val="00617EB4"/>
    <w:rsid w:val="00621934"/>
    <w:rsid w:val="00621ADD"/>
    <w:rsid w:val="00624350"/>
    <w:rsid w:val="006428A3"/>
    <w:rsid w:val="00651720"/>
    <w:rsid w:val="00652432"/>
    <w:rsid w:val="00667EBD"/>
    <w:rsid w:val="00671847"/>
    <w:rsid w:val="0067236B"/>
    <w:rsid w:val="00675747"/>
    <w:rsid w:val="006809E1"/>
    <w:rsid w:val="00693B44"/>
    <w:rsid w:val="0069406B"/>
    <w:rsid w:val="006A0B19"/>
    <w:rsid w:val="006A2AD5"/>
    <w:rsid w:val="006A2D89"/>
    <w:rsid w:val="006A2DEB"/>
    <w:rsid w:val="006A3384"/>
    <w:rsid w:val="006A6CEC"/>
    <w:rsid w:val="006B3810"/>
    <w:rsid w:val="006B4567"/>
    <w:rsid w:val="006B6785"/>
    <w:rsid w:val="006C1260"/>
    <w:rsid w:val="006C12D0"/>
    <w:rsid w:val="006C7F55"/>
    <w:rsid w:val="006D0DE3"/>
    <w:rsid w:val="006D47E2"/>
    <w:rsid w:val="006E36CA"/>
    <w:rsid w:val="006E432D"/>
    <w:rsid w:val="006E4BAA"/>
    <w:rsid w:val="006E7D5E"/>
    <w:rsid w:val="006F2A95"/>
    <w:rsid w:val="006F5208"/>
    <w:rsid w:val="006F63C8"/>
    <w:rsid w:val="006F74D6"/>
    <w:rsid w:val="006F7523"/>
    <w:rsid w:val="00723E7D"/>
    <w:rsid w:val="00724920"/>
    <w:rsid w:val="00724922"/>
    <w:rsid w:val="00730DA5"/>
    <w:rsid w:val="00732EA6"/>
    <w:rsid w:val="00737254"/>
    <w:rsid w:val="00745C3F"/>
    <w:rsid w:val="007462C7"/>
    <w:rsid w:val="0074696E"/>
    <w:rsid w:val="007477C2"/>
    <w:rsid w:val="00747F8C"/>
    <w:rsid w:val="007508F3"/>
    <w:rsid w:val="00755CAE"/>
    <w:rsid w:val="00760DE6"/>
    <w:rsid w:val="00761E44"/>
    <w:rsid w:val="00762B87"/>
    <w:rsid w:val="00763F67"/>
    <w:rsid w:val="00764FEC"/>
    <w:rsid w:val="00765D38"/>
    <w:rsid w:val="007674FA"/>
    <w:rsid w:val="00771198"/>
    <w:rsid w:val="007733BD"/>
    <w:rsid w:val="007A3843"/>
    <w:rsid w:val="007A4659"/>
    <w:rsid w:val="007A56A4"/>
    <w:rsid w:val="007A5E85"/>
    <w:rsid w:val="007A725A"/>
    <w:rsid w:val="007A7623"/>
    <w:rsid w:val="007B3966"/>
    <w:rsid w:val="007B52AC"/>
    <w:rsid w:val="007B69A3"/>
    <w:rsid w:val="007C1677"/>
    <w:rsid w:val="007C2142"/>
    <w:rsid w:val="007C31F5"/>
    <w:rsid w:val="007C3CB9"/>
    <w:rsid w:val="007C3EF6"/>
    <w:rsid w:val="007C560B"/>
    <w:rsid w:val="007C5E9A"/>
    <w:rsid w:val="007D5F02"/>
    <w:rsid w:val="007D6DCF"/>
    <w:rsid w:val="007D70CF"/>
    <w:rsid w:val="007E2BDD"/>
    <w:rsid w:val="007E428E"/>
    <w:rsid w:val="007E48BA"/>
    <w:rsid w:val="007F1D1B"/>
    <w:rsid w:val="007F717C"/>
    <w:rsid w:val="00813427"/>
    <w:rsid w:val="008140B6"/>
    <w:rsid w:val="008316AE"/>
    <w:rsid w:val="008352EA"/>
    <w:rsid w:val="0084454E"/>
    <w:rsid w:val="0085200E"/>
    <w:rsid w:val="0085456D"/>
    <w:rsid w:val="0085496E"/>
    <w:rsid w:val="00860955"/>
    <w:rsid w:val="008621DF"/>
    <w:rsid w:val="0086545F"/>
    <w:rsid w:val="008678A1"/>
    <w:rsid w:val="00875D93"/>
    <w:rsid w:val="0088498B"/>
    <w:rsid w:val="008853C2"/>
    <w:rsid w:val="00885997"/>
    <w:rsid w:val="00887979"/>
    <w:rsid w:val="00890A36"/>
    <w:rsid w:val="00891711"/>
    <w:rsid w:val="0089351A"/>
    <w:rsid w:val="0089505B"/>
    <w:rsid w:val="008A1722"/>
    <w:rsid w:val="008A71FE"/>
    <w:rsid w:val="008B132F"/>
    <w:rsid w:val="008B592C"/>
    <w:rsid w:val="008D5A2B"/>
    <w:rsid w:val="008F79BD"/>
    <w:rsid w:val="00912939"/>
    <w:rsid w:val="00914050"/>
    <w:rsid w:val="009146C2"/>
    <w:rsid w:val="00916477"/>
    <w:rsid w:val="00920D3A"/>
    <w:rsid w:val="0092505C"/>
    <w:rsid w:val="00926FE0"/>
    <w:rsid w:val="00931C74"/>
    <w:rsid w:val="009329E6"/>
    <w:rsid w:val="00932B97"/>
    <w:rsid w:val="00932BCF"/>
    <w:rsid w:val="00941C8B"/>
    <w:rsid w:val="009479AF"/>
    <w:rsid w:val="009518C0"/>
    <w:rsid w:val="0096578C"/>
    <w:rsid w:val="009664BB"/>
    <w:rsid w:val="00966852"/>
    <w:rsid w:val="00972C92"/>
    <w:rsid w:val="00972D54"/>
    <w:rsid w:val="009737AA"/>
    <w:rsid w:val="00981EF7"/>
    <w:rsid w:val="00983359"/>
    <w:rsid w:val="00987D25"/>
    <w:rsid w:val="00991C68"/>
    <w:rsid w:val="009A05FC"/>
    <w:rsid w:val="009A1488"/>
    <w:rsid w:val="009A1E20"/>
    <w:rsid w:val="009A3350"/>
    <w:rsid w:val="009B3F95"/>
    <w:rsid w:val="009B5FB1"/>
    <w:rsid w:val="009B70CA"/>
    <w:rsid w:val="009B796F"/>
    <w:rsid w:val="009C002F"/>
    <w:rsid w:val="009C2D03"/>
    <w:rsid w:val="009C2F9D"/>
    <w:rsid w:val="009D096B"/>
    <w:rsid w:val="009D74E7"/>
    <w:rsid w:val="009E1B6F"/>
    <w:rsid w:val="009F01ED"/>
    <w:rsid w:val="009F34DD"/>
    <w:rsid w:val="009F4ADE"/>
    <w:rsid w:val="00A01409"/>
    <w:rsid w:val="00A01743"/>
    <w:rsid w:val="00A01A02"/>
    <w:rsid w:val="00A06CC8"/>
    <w:rsid w:val="00A071DA"/>
    <w:rsid w:val="00A14C11"/>
    <w:rsid w:val="00A14E66"/>
    <w:rsid w:val="00A1555D"/>
    <w:rsid w:val="00A34FAE"/>
    <w:rsid w:val="00A37A78"/>
    <w:rsid w:val="00A46180"/>
    <w:rsid w:val="00A47B1B"/>
    <w:rsid w:val="00A50BE3"/>
    <w:rsid w:val="00A52AE5"/>
    <w:rsid w:val="00A56F12"/>
    <w:rsid w:val="00A60B2A"/>
    <w:rsid w:val="00A622B2"/>
    <w:rsid w:val="00A65C4F"/>
    <w:rsid w:val="00A65CB5"/>
    <w:rsid w:val="00A7292A"/>
    <w:rsid w:val="00A77D56"/>
    <w:rsid w:val="00A83CB0"/>
    <w:rsid w:val="00A87C80"/>
    <w:rsid w:val="00A93124"/>
    <w:rsid w:val="00A948EA"/>
    <w:rsid w:val="00A94986"/>
    <w:rsid w:val="00A965F4"/>
    <w:rsid w:val="00A9791F"/>
    <w:rsid w:val="00AA6E3C"/>
    <w:rsid w:val="00AB130F"/>
    <w:rsid w:val="00AB365F"/>
    <w:rsid w:val="00AC1F98"/>
    <w:rsid w:val="00AC5630"/>
    <w:rsid w:val="00AE0738"/>
    <w:rsid w:val="00AE620C"/>
    <w:rsid w:val="00AF2AF6"/>
    <w:rsid w:val="00AF31B5"/>
    <w:rsid w:val="00AF3550"/>
    <w:rsid w:val="00AF3CC8"/>
    <w:rsid w:val="00B014B1"/>
    <w:rsid w:val="00B03A9C"/>
    <w:rsid w:val="00B12E24"/>
    <w:rsid w:val="00B14899"/>
    <w:rsid w:val="00B173C6"/>
    <w:rsid w:val="00B20B58"/>
    <w:rsid w:val="00B256FB"/>
    <w:rsid w:val="00B37932"/>
    <w:rsid w:val="00B37F45"/>
    <w:rsid w:val="00B40743"/>
    <w:rsid w:val="00B43145"/>
    <w:rsid w:val="00B52456"/>
    <w:rsid w:val="00B55FF0"/>
    <w:rsid w:val="00B56BD7"/>
    <w:rsid w:val="00B60127"/>
    <w:rsid w:val="00B609C1"/>
    <w:rsid w:val="00B60EB2"/>
    <w:rsid w:val="00B63351"/>
    <w:rsid w:val="00B6681A"/>
    <w:rsid w:val="00B75217"/>
    <w:rsid w:val="00B75C37"/>
    <w:rsid w:val="00B83D6A"/>
    <w:rsid w:val="00B83EEF"/>
    <w:rsid w:val="00B86A2A"/>
    <w:rsid w:val="00B86D95"/>
    <w:rsid w:val="00B93815"/>
    <w:rsid w:val="00B97178"/>
    <w:rsid w:val="00BA36F7"/>
    <w:rsid w:val="00BA515D"/>
    <w:rsid w:val="00BA5E4F"/>
    <w:rsid w:val="00BB27A5"/>
    <w:rsid w:val="00BB502F"/>
    <w:rsid w:val="00BB716A"/>
    <w:rsid w:val="00BC3FEC"/>
    <w:rsid w:val="00BC625B"/>
    <w:rsid w:val="00BC7BF0"/>
    <w:rsid w:val="00BE190A"/>
    <w:rsid w:val="00BE35B0"/>
    <w:rsid w:val="00BE6B9A"/>
    <w:rsid w:val="00BF12E8"/>
    <w:rsid w:val="00BF2918"/>
    <w:rsid w:val="00BF5288"/>
    <w:rsid w:val="00BF6E2B"/>
    <w:rsid w:val="00C005EC"/>
    <w:rsid w:val="00C034ED"/>
    <w:rsid w:val="00C0509B"/>
    <w:rsid w:val="00C245B7"/>
    <w:rsid w:val="00C2623B"/>
    <w:rsid w:val="00C27D96"/>
    <w:rsid w:val="00C345B6"/>
    <w:rsid w:val="00C439BF"/>
    <w:rsid w:val="00C477F2"/>
    <w:rsid w:val="00C51CA2"/>
    <w:rsid w:val="00C52232"/>
    <w:rsid w:val="00C52C55"/>
    <w:rsid w:val="00C550CE"/>
    <w:rsid w:val="00C718BD"/>
    <w:rsid w:val="00C725BA"/>
    <w:rsid w:val="00C75E67"/>
    <w:rsid w:val="00C8087D"/>
    <w:rsid w:val="00C82367"/>
    <w:rsid w:val="00C84740"/>
    <w:rsid w:val="00C91D76"/>
    <w:rsid w:val="00C93504"/>
    <w:rsid w:val="00C95394"/>
    <w:rsid w:val="00C963C1"/>
    <w:rsid w:val="00C97606"/>
    <w:rsid w:val="00CA484A"/>
    <w:rsid w:val="00CA4933"/>
    <w:rsid w:val="00CA57F3"/>
    <w:rsid w:val="00CB172B"/>
    <w:rsid w:val="00CB27BD"/>
    <w:rsid w:val="00CB62A3"/>
    <w:rsid w:val="00CB770B"/>
    <w:rsid w:val="00CC111B"/>
    <w:rsid w:val="00CC2BDD"/>
    <w:rsid w:val="00CD045F"/>
    <w:rsid w:val="00CD7771"/>
    <w:rsid w:val="00CD7F12"/>
    <w:rsid w:val="00CE6576"/>
    <w:rsid w:val="00CE7117"/>
    <w:rsid w:val="00CE7793"/>
    <w:rsid w:val="00CEFE31"/>
    <w:rsid w:val="00CF0F9B"/>
    <w:rsid w:val="00CF14EA"/>
    <w:rsid w:val="00CF1C48"/>
    <w:rsid w:val="00CF2E89"/>
    <w:rsid w:val="00CF51A3"/>
    <w:rsid w:val="00CF57C7"/>
    <w:rsid w:val="00CF6009"/>
    <w:rsid w:val="00D052DD"/>
    <w:rsid w:val="00D1035D"/>
    <w:rsid w:val="00D12ABD"/>
    <w:rsid w:val="00D13737"/>
    <w:rsid w:val="00D14E70"/>
    <w:rsid w:val="00D15EE5"/>
    <w:rsid w:val="00D2207C"/>
    <w:rsid w:val="00D22FFA"/>
    <w:rsid w:val="00D236E1"/>
    <w:rsid w:val="00D26243"/>
    <w:rsid w:val="00D41CEE"/>
    <w:rsid w:val="00D44425"/>
    <w:rsid w:val="00D45DAD"/>
    <w:rsid w:val="00D53DCB"/>
    <w:rsid w:val="00D53F02"/>
    <w:rsid w:val="00D54FCB"/>
    <w:rsid w:val="00D57BF6"/>
    <w:rsid w:val="00D63411"/>
    <w:rsid w:val="00D6632D"/>
    <w:rsid w:val="00D8621F"/>
    <w:rsid w:val="00D8705B"/>
    <w:rsid w:val="00D91DBB"/>
    <w:rsid w:val="00D94257"/>
    <w:rsid w:val="00D9A43A"/>
    <w:rsid w:val="00DA0B95"/>
    <w:rsid w:val="00DA2A91"/>
    <w:rsid w:val="00DABD49"/>
    <w:rsid w:val="00DB3670"/>
    <w:rsid w:val="00DC15E2"/>
    <w:rsid w:val="00DD0873"/>
    <w:rsid w:val="00DE0AF8"/>
    <w:rsid w:val="00DE5BF9"/>
    <w:rsid w:val="00DE7DD6"/>
    <w:rsid w:val="00DF1718"/>
    <w:rsid w:val="00DF47FA"/>
    <w:rsid w:val="00DF7CEC"/>
    <w:rsid w:val="00E02D70"/>
    <w:rsid w:val="00E12FA7"/>
    <w:rsid w:val="00E25081"/>
    <w:rsid w:val="00E27D81"/>
    <w:rsid w:val="00E43EE5"/>
    <w:rsid w:val="00E450C3"/>
    <w:rsid w:val="00E51336"/>
    <w:rsid w:val="00E536B9"/>
    <w:rsid w:val="00E56631"/>
    <w:rsid w:val="00E56FEE"/>
    <w:rsid w:val="00E61DE6"/>
    <w:rsid w:val="00E65D85"/>
    <w:rsid w:val="00E813D6"/>
    <w:rsid w:val="00E814FE"/>
    <w:rsid w:val="00E85007"/>
    <w:rsid w:val="00E874E9"/>
    <w:rsid w:val="00E902DC"/>
    <w:rsid w:val="00E92149"/>
    <w:rsid w:val="00E92829"/>
    <w:rsid w:val="00E93442"/>
    <w:rsid w:val="00EB3B21"/>
    <w:rsid w:val="00EB6512"/>
    <w:rsid w:val="00EC1852"/>
    <w:rsid w:val="00EC5284"/>
    <w:rsid w:val="00ED19AA"/>
    <w:rsid w:val="00ED2A61"/>
    <w:rsid w:val="00ED394B"/>
    <w:rsid w:val="00EE0AF5"/>
    <w:rsid w:val="00EE17EA"/>
    <w:rsid w:val="00EE25C4"/>
    <w:rsid w:val="00EE7277"/>
    <w:rsid w:val="00EF657C"/>
    <w:rsid w:val="00F006C5"/>
    <w:rsid w:val="00F04FEC"/>
    <w:rsid w:val="00F10990"/>
    <w:rsid w:val="00F11AD4"/>
    <w:rsid w:val="00F1771E"/>
    <w:rsid w:val="00F20206"/>
    <w:rsid w:val="00F228C3"/>
    <w:rsid w:val="00F32EA9"/>
    <w:rsid w:val="00F431B5"/>
    <w:rsid w:val="00F47EAB"/>
    <w:rsid w:val="00F55053"/>
    <w:rsid w:val="00F55F5D"/>
    <w:rsid w:val="00F578A6"/>
    <w:rsid w:val="00F60A52"/>
    <w:rsid w:val="00F612C3"/>
    <w:rsid w:val="00F626AF"/>
    <w:rsid w:val="00F62B55"/>
    <w:rsid w:val="00F6584E"/>
    <w:rsid w:val="00F66CC2"/>
    <w:rsid w:val="00F7214F"/>
    <w:rsid w:val="00F73B5D"/>
    <w:rsid w:val="00F8331E"/>
    <w:rsid w:val="00F84604"/>
    <w:rsid w:val="00F8791F"/>
    <w:rsid w:val="00F93A5B"/>
    <w:rsid w:val="00F93BD2"/>
    <w:rsid w:val="00F956C6"/>
    <w:rsid w:val="00FB0C43"/>
    <w:rsid w:val="00FB4396"/>
    <w:rsid w:val="00FC172E"/>
    <w:rsid w:val="00FC351C"/>
    <w:rsid w:val="00FC4202"/>
    <w:rsid w:val="00FC5440"/>
    <w:rsid w:val="00FD16AE"/>
    <w:rsid w:val="00FE11C1"/>
    <w:rsid w:val="00FE738D"/>
    <w:rsid w:val="01635E3F"/>
    <w:rsid w:val="01787BE4"/>
    <w:rsid w:val="018E5B90"/>
    <w:rsid w:val="01AB7D7F"/>
    <w:rsid w:val="01CA34AF"/>
    <w:rsid w:val="03AA169A"/>
    <w:rsid w:val="03F6EDAF"/>
    <w:rsid w:val="0630767B"/>
    <w:rsid w:val="06496B22"/>
    <w:rsid w:val="067FC26D"/>
    <w:rsid w:val="06ED8B57"/>
    <w:rsid w:val="07801B49"/>
    <w:rsid w:val="0794C7A4"/>
    <w:rsid w:val="07D38846"/>
    <w:rsid w:val="085E2899"/>
    <w:rsid w:val="08693A16"/>
    <w:rsid w:val="0899087F"/>
    <w:rsid w:val="08A642AD"/>
    <w:rsid w:val="08B0BAAC"/>
    <w:rsid w:val="09718CA3"/>
    <w:rsid w:val="09751944"/>
    <w:rsid w:val="09AEFAE5"/>
    <w:rsid w:val="09F3729F"/>
    <w:rsid w:val="0A6583E4"/>
    <w:rsid w:val="0ACC0517"/>
    <w:rsid w:val="0B2FB5AF"/>
    <w:rsid w:val="0B47F49A"/>
    <w:rsid w:val="0B6D57C1"/>
    <w:rsid w:val="0B87266E"/>
    <w:rsid w:val="0B95C2A7"/>
    <w:rsid w:val="0DD898EF"/>
    <w:rsid w:val="0EAF6547"/>
    <w:rsid w:val="0ED6DD61"/>
    <w:rsid w:val="0EE6E8C7"/>
    <w:rsid w:val="0F588C53"/>
    <w:rsid w:val="0FC725B8"/>
    <w:rsid w:val="101A498B"/>
    <w:rsid w:val="10C6A0F2"/>
    <w:rsid w:val="10D7903B"/>
    <w:rsid w:val="1147712B"/>
    <w:rsid w:val="1147C32B"/>
    <w:rsid w:val="12A9111B"/>
    <w:rsid w:val="12CC8E2D"/>
    <w:rsid w:val="12D6B7EE"/>
    <w:rsid w:val="130310E9"/>
    <w:rsid w:val="130377EE"/>
    <w:rsid w:val="131038F0"/>
    <w:rsid w:val="1330341F"/>
    <w:rsid w:val="13B75539"/>
    <w:rsid w:val="1424A63F"/>
    <w:rsid w:val="14AF2260"/>
    <w:rsid w:val="15898A97"/>
    <w:rsid w:val="16300A9F"/>
    <w:rsid w:val="1659066A"/>
    <w:rsid w:val="16B3FFF0"/>
    <w:rsid w:val="1842CD11"/>
    <w:rsid w:val="18A80ACF"/>
    <w:rsid w:val="191EAA08"/>
    <w:rsid w:val="19CEF3EB"/>
    <w:rsid w:val="19FC3B5C"/>
    <w:rsid w:val="1A1C6192"/>
    <w:rsid w:val="1A1F7A44"/>
    <w:rsid w:val="1A5DDE1E"/>
    <w:rsid w:val="1A6C3F2D"/>
    <w:rsid w:val="1AA9F509"/>
    <w:rsid w:val="1AD2907F"/>
    <w:rsid w:val="1AF7DF38"/>
    <w:rsid w:val="1BACA00D"/>
    <w:rsid w:val="1BCEB7EC"/>
    <w:rsid w:val="1CA0BE80"/>
    <w:rsid w:val="1CB77C60"/>
    <w:rsid w:val="1CBDC94F"/>
    <w:rsid w:val="1CC508CB"/>
    <w:rsid w:val="1D0D1541"/>
    <w:rsid w:val="1D674AB9"/>
    <w:rsid w:val="1D73F9C0"/>
    <w:rsid w:val="1DC52215"/>
    <w:rsid w:val="1ED647CB"/>
    <w:rsid w:val="1FD0CBF1"/>
    <w:rsid w:val="1FEA0648"/>
    <w:rsid w:val="2062D1CD"/>
    <w:rsid w:val="2072182C"/>
    <w:rsid w:val="21212C40"/>
    <w:rsid w:val="22540B5E"/>
    <w:rsid w:val="227342F9"/>
    <w:rsid w:val="238B6F2A"/>
    <w:rsid w:val="23977760"/>
    <w:rsid w:val="2416533B"/>
    <w:rsid w:val="2466CA34"/>
    <w:rsid w:val="25749C6F"/>
    <w:rsid w:val="25D1B5D5"/>
    <w:rsid w:val="26080AC0"/>
    <w:rsid w:val="265C66F1"/>
    <w:rsid w:val="26D71213"/>
    <w:rsid w:val="271CA665"/>
    <w:rsid w:val="2795BCD5"/>
    <w:rsid w:val="27B7B7AB"/>
    <w:rsid w:val="28404E21"/>
    <w:rsid w:val="285E7E0D"/>
    <w:rsid w:val="287D2A11"/>
    <w:rsid w:val="298C3EB8"/>
    <w:rsid w:val="29E273AC"/>
    <w:rsid w:val="2AA0E6DD"/>
    <w:rsid w:val="2ACAC045"/>
    <w:rsid w:val="2ADE62B7"/>
    <w:rsid w:val="2B1D04E0"/>
    <w:rsid w:val="2B643BA2"/>
    <w:rsid w:val="2B939612"/>
    <w:rsid w:val="2B959475"/>
    <w:rsid w:val="2C2C7D7E"/>
    <w:rsid w:val="2C7B2B9D"/>
    <w:rsid w:val="2C869C43"/>
    <w:rsid w:val="2CBF375C"/>
    <w:rsid w:val="2D2D7C04"/>
    <w:rsid w:val="2D398F71"/>
    <w:rsid w:val="2D6B92A6"/>
    <w:rsid w:val="2E1AD79C"/>
    <w:rsid w:val="2E319BD0"/>
    <w:rsid w:val="2EC463E7"/>
    <w:rsid w:val="2F3FB8EF"/>
    <w:rsid w:val="2F99A402"/>
    <w:rsid w:val="2FA402E4"/>
    <w:rsid w:val="2FEB1074"/>
    <w:rsid w:val="2FFAF4C3"/>
    <w:rsid w:val="307D6725"/>
    <w:rsid w:val="30E92B46"/>
    <w:rsid w:val="311208F1"/>
    <w:rsid w:val="31175966"/>
    <w:rsid w:val="3143E7F1"/>
    <w:rsid w:val="317A89AD"/>
    <w:rsid w:val="31AFBA2D"/>
    <w:rsid w:val="31E6B5EF"/>
    <w:rsid w:val="31FD92EE"/>
    <w:rsid w:val="3238F32F"/>
    <w:rsid w:val="32E80C5D"/>
    <w:rsid w:val="32E9F4D3"/>
    <w:rsid w:val="3300F549"/>
    <w:rsid w:val="331CB815"/>
    <w:rsid w:val="332AE8BC"/>
    <w:rsid w:val="332DF52A"/>
    <w:rsid w:val="33777D18"/>
    <w:rsid w:val="33B8EFCE"/>
    <w:rsid w:val="33CFC08A"/>
    <w:rsid w:val="3403C95D"/>
    <w:rsid w:val="344DC88D"/>
    <w:rsid w:val="345C20BD"/>
    <w:rsid w:val="35671379"/>
    <w:rsid w:val="3576E063"/>
    <w:rsid w:val="361FBA7C"/>
    <w:rsid w:val="363647AF"/>
    <w:rsid w:val="36678736"/>
    <w:rsid w:val="36EC46D2"/>
    <w:rsid w:val="36FEACFC"/>
    <w:rsid w:val="36FF6B00"/>
    <w:rsid w:val="37009F0F"/>
    <w:rsid w:val="37536083"/>
    <w:rsid w:val="3793D51F"/>
    <w:rsid w:val="37B9BB75"/>
    <w:rsid w:val="37BD8F29"/>
    <w:rsid w:val="37C27BA8"/>
    <w:rsid w:val="38164F9C"/>
    <w:rsid w:val="38768EA9"/>
    <w:rsid w:val="397F8B48"/>
    <w:rsid w:val="39813259"/>
    <w:rsid w:val="3A0B22FB"/>
    <w:rsid w:val="3A1AD512"/>
    <w:rsid w:val="3A1E3A0B"/>
    <w:rsid w:val="3A370BC2"/>
    <w:rsid w:val="3A806367"/>
    <w:rsid w:val="3AD918D9"/>
    <w:rsid w:val="3AF77744"/>
    <w:rsid w:val="3B0C1352"/>
    <w:rsid w:val="3B8E2FB9"/>
    <w:rsid w:val="3B9A06A3"/>
    <w:rsid w:val="3BD2DC23"/>
    <w:rsid w:val="3C8865FC"/>
    <w:rsid w:val="3D06D920"/>
    <w:rsid w:val="3EB9B62D"/>
    <w:rsid w:val="3EC430E9"/>
    <w:rsid w:val="3EE7B8DC"/>
    <w:rsid w:val="3F2C02AE"/>
    <w:rsid w:val="3F2C56C3"/>
    <w:rsid w:val="3F4692D0"/>
    <w:rsid w:val="3F641127"/>
    <w:rsid w:val="3F84325B"/>
    <w:rsid w:val="3FC29212"/>
    <w:rsid w:val="3FEB7D81"/>
    <w:rsid w:val="4002E8F4"/>
    <w:rsid w:val="4045611E"/>
    <w:rsid w:val="407AAF0C"/>
    <w:rsid w:val="4081770E"/>
    <w:rsid w:val="42123B16"/>
    <w:rsid w:val="424876DE"/>
    <w:rsid w:val="424D0572"/>
    <w:rsid w:val="427EF43F"/>
    <w:rsid w:val="42DF46E8"/>
    <w:rsid w:val="43C3F5AB"/>
    <w:rsid w:val="43F7275C"/>
    <w:rsid w:val="4418344F"/>
    <w:rsid w:val="44320047"/>
    <w:rsid w:val="443234A6"/>
    <w:rsid w:val="44BEEEA4"/>
    <w:rsid w:val="452EB667"/>
    <w:rsid w:val="4613AC08"/>
    <w:rsid w:val="4891AD59"/>
    <w:rsid w:val="491A56F4"/>
    <w:rsid w:val="4A629EAC"/>
    <w:rsid w:val="4AB2D10D"/>
    <w:rsid w:val="4B2D59C8"/>
    <w:rsid w:val="4B57DB05"/>
    <w:rsid w:val="4B5E97A6"/>
    <w:rsid w:val="4BC62018"/>
    <w:rsid w:val="4C1A4838"/>
    <w:rsid w:val="4C4F853E"/>
    <w:rsid w:val="4CD16A74"/>
    <w:rsid w:val="4D1D322D"/>
    <w:rsid w:val="4D9087C9"/>
    <w:rsid w:val="4E302FFE"/>
    <w:rsid w:val="4E5B703A"/>
    <w:rsid w:val="4EC8075F"/>
    <w:rsid w:val="4EF04616"/>
    <w:rsid w:val="4F10F328"/>
    <w:rsid w:val="504096DB"/>
    <w:rsid w:val="50465347"/>
    <w:rsid w:val="507F7980"/>
    <w:rsid w:val="50A9A09C"/>
    <w:rsid w:val="51970BA6"/>
    <w:rsid w:val="52A3065C"/>
    <w:rsid w:val="535FA925"/>
    <w:rsid w:val="537F9CEB"/>
    <w:rsid w:val="5394B7C1"/>
    <w:rsid w:val="539B1D85"/>
    <w:rsid w:val="53B7F115"/>
    <w:rsid w:val="53D1B67A"/>
    <w:rsid w:val="53D87623"/>
    <w:rsid w:val="53E50F73"/>
    <w:rsid w:val="54AF325B"/>
    <w:rsid w:val="54C22741"/>
    <w:rsid w:val="54FA77A2"/>
    <w:rsid w:val="55A317A6"/>
    <w:rsid w:val="56004BBA"/>
    <w:rsid w:val="56FB225D"/>
    <w:rsid w:val="579D1373"/>
    <w:rsid w:val="57B1AD6C"/>
    <w:rsid w:val="583A99DC"/>
    <w:rsid w:val="58ECE38C"/>
    <w:rsid w:val="593F91A3"/>
    <w:rsid w:val="59A2B409"/>
    <w:rsid w:val="5A0321F6"/>
    <w:rsid w:val="5B32FE20"/>
    <w:rsid w:val="5B49ABF7"/>
    <w:rsid w:val="5B61C225"/>
    <w:rsid w:val="5BAEE8A4"/>
    <w:rsid w:val="5BF6DDC0"/>
    <w:rsid w:val="5C8A2346"/>
    <w:rsid w:val="5CB309B1"/>
    <w:rsid w:val="5CCF2B60"/>
    <w:rsid w:val="5CEE84AE"/>
    <w:rsid w:val="5D7C387B"/>
    <w:rsid w:val="5DA130D0"/>
    <w:rsid w:val="5EA33B59"/>
    <w:rsid w:val="5F9F171A"/>
    <w:rsid w:val="602E46EC"/>
    <w:rsid w:val="60434BCE"/>
    <w:rsid w:val="604C2A97"/>
    <w:rsid w:val="6089856A"/>
    <w:rsid w:val="60F5284E"/>
    <w:rsid w:val="613627AA"/>
    <w:rsid w:val="61D6C5CB"/>
    <w:rsid w:val="61F8380C"/>
    <w:rsid w:val="627D5A98"/>
    <w:rsid w:val="62E6772A"/>
    <w:rsid w:val="630E989D"/>
    <w:rsid w:val="637185D8"/>
    <w:rsid w:val="6432E227"/>
    <w:rsid w:val="651A508F"/>
    <w:rsid w:val="65CDEEB8"/>
    <w:rsid w:val="6601A96B"/>
    <w:rsid w:val="66976E68"/>
    <w:rsid w:val="6884B7C6"/>
    <w:rsid w:val="68C6D72A"/>
    <w:rsid w:val="69E023E7"/>
    <w:rsid w:val="6A4C5165"/>
    <w:rsid w:val="6A5F11A6"/>
    <w:rsid w:val="6ABEABC8"/>
    <w:rsid w:val="6AEDECDC"/>
    <w:rsid w:val="6CD5716A"/>
    <w:rsid w:val="6E347C83"/>
    <w:rsid w:val="6E3D76E1"/>
    <w:rsid w:val="6E655EBE"/>
    <w:rsid w:val="6EF356C4"/>
    <w:rsid w:val="6F590242"/>
    <w:rsid w:val="6FD5945D"/>
    <w:rsid w:val="705A8107"/>
    <w:rsid w:val="70666503"/>
    <w:rsid w:val="725ED37F"/>
    <w:rsid w:val="732B1BDC"/>
    <w:rsid w:val="736888A9"/>
    <w:rsid w:val="73F23704"/>
    <w:rsid w:val="74E6F69E"/>
    <w:rsid w:val="752BE898"/>
    <w:rsid w:val="754BE9B3"/>
    <w:rsid w:val="755598CA"/>
    <w:rsid w:val="75A7D765"/>
    <w:rsid w:val="75EC5AB3"/>
    <w:rsid w:val="760D8CFB"/>
    <w:rsid w:val="7684DD3D"/>
    <w:rsid w:val="76A53A1D"/>
    <w:rsid w:val="76E83057"/>
    <w:rsid w:val="771E0E49"/>
    <w:rsid w:val="783B0DE9"/>
    <w:rsid w:val="784D26A7"/>
    <w:rsid w:val="79008635"/>
    <w:rsid w:val="7980164A"/>
    <w:rsid w:val="7A30E46B"/>
    <w:rsid w:val="7B429516"/>
    <w:rsid w:val="7B4FF253"/>
    <w:rsid w:val="7B565BF2"/>
    <w:rsid w:val="7BE7D058"/>
    <w:rsid w:val="7C25C117"/>
    <w:rsid w:val="7C337D4E"/>
    <w:rsid w:val="7C524EA5"/>
    <w:rsid w:val="7D146AA0"/>
    <w:rsid w:val="7D1794AD"/>
    <w:rsid w:val="7D43FAA7"/>
    <w:rsid w:val="7D608616"/>
    <w:rsid w:val="7DBF8815"/>
    <w:rsid w:val="7E0F4840"/>
    <w:rsid w:val="7E38C65E"/>
    <w:rsid w:val="7E3F7C83"/>
    <w:rsid w:val="7F3CE320"/>
    <w:rsid w:val="7F428C8D"/>
    <w:rsid w:val="7F5429FE"/>
    <w:rsid w:val="7F6DC97A"/>
    <w:rsid w:val="7F9D77A5"/>
    <w:rsid w:val="7FAF5400"/>
    <w:rsid w:val="7FEDA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6D87"/>
  <w15:chartTrackingRefBased/>
  <w15:docId w15:val="{C5A4A656-A4EA-406A-9C27-41D42594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CB"/>
  </w:style>
  <w:style w:type="paragraph" w:styleId="Heading1">
    <w:name w:val="heading 1"/>
    <w:basedOn w:val="Normal"/>
    <w:next w:val="Normal"/>
    <w:link w:val="Heading1Char"/>
    <w:uiPriority w:val="9"/>
    <w:qFormat/>
    <w:rsid w:val="00271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6F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29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779"/>
    <w:pPr>
      <w:ind w:left="720"/>
      <w:contextualSpacing/>
    </w:pPr>
  </w:style>
  <w:style w:type="character" w:customStyle="1" w:styleId="Heading1Char">
    <w:name w:val="Heading 1 Char"/>
    <w:basedOn w:val="DefaultParagraphFont"/>
    <w:link w:val="Heading1"/>
    <w:uiPriority w:val="9"/>
    <w:rsid w:val="0027177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6A2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6A2D89"/>
  </w:style>
  <w:style w:type="character" w:customStyle="1" w:styleId="normaltextrun">
    <w:name w:val="normaltextrun"/>
    <w:basedOn w:val="DefaultParagraphFont"/>
    <w:rsid w:val="006A2D89"/>
  </w:style>
  <w:style w:type="character" w:customStyle="1" w:styleId="eop">
    <w:name w:val="eop"/>
    <w:basedOn w:val="DefaultParagraphFont"/>
    <w:rsid w:val="006A2D89"/>
  </w:style>
  <w:style w:type="character" w:customStyle="1" w:styleId="Heading2Char">
    <w:name w:val="Heading 2 Char"/>
    <w:basedOn w:val="DefaultParagraphFont"/>
    <w:link w:val="Heading2"/>
    <w:uiPriority w:val="9"/>
    <w:rsid w:val="00926F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F1C48"/>
    <w:rPr>
      <w:color w:val="0563C1" w:themeColor="hyperlink"/>
      <w:u w:val="single"/>
    </w:rPr>
  </w:style>
  <w:style w:type="character" w:styleId="UnresolvedMention">
    <w:name w:val="Unresolved Mention"/>
    <w:basedOn w:val="DefaultParagraphFont"/>
    <w:uiPriority w:val="99"/>
    <w:semiHidden/>
    <w:unhideWhenUsed/>
    <w:rsid w:val="00CF1C48"/>
    <w:rPr>
      <w:color w:val="605E5C"/>
      <w:shd w:val="clear" w:color="auto" w:fill="E1DFDD"/>
    </w:rPr>
  </w:style>
  <w:style w:type="character" w:styleId="CommentReference">
    <w:name w:val="annotation reference"/>
    <w:basedOn w:val="DefaultParagraphFont"/>
    <w:uiPriority w:val="99"/>
    <w:semiHidden/>
    <w:unhideWhenUsed/>
    <w:rsid w:val="00932BCF"/>
    <w:rPr>
      <w:sz w:val="16"/>
      <w:szCs w:val="16"/>
    </w:rPr>
  </w:style>
  <w:style w:type="paragraph" w:styleId="CommentText">
    <w:name w:val="annotation text"/>
    <w:basedOn w:val="Normal"/>
    <w:link w:val="CommentTextChar"/>
    <w:uiPriority w:val="99"/>
    <w:unhideWhenUsed/>
    <w:rsid w:val="00932BCF"/>
    <w:pPr>
      <w:spacing w:line="240" w:lineRule="auto"/>
    </w:pPr>
    <w:rPr>
      <w:sz w:val="20"/>
      <w:szCs w:val="20"/>
    </w:rPr>
  </w:style>
  <w:style w:type="character" w:customStyle="1" w:styleId="CommentTextChar">
    <w:name w:val="Comment Text Char"/>
    <w:basedOn w:val="DefaultParagraphFont"/>
    <w:link w:val="CommentText"/>
    <w:uiPriority w:val="99"/>
    <w:rsid w:val="00932BCF"/>
    <w:rPr>
      <w:sz w:val="20"/>
      <w:szCs w:val="20"/>
    </w:rPr>
  </w:style>
  <w:style w:type="paragraph" w:styleId="CommentSubject">
    <w:name w:val="annotation subject"/>
    <w:basedOn w:val="CommentText"/>
    <w:next w:val="CommentText"/>
    <w:link w:val="CommentSubjectChar"/>
    <w:uiPriority w:val="99"/>
    <w:semiHidden/>
    <w:unhideWhenUsed/>
    <w:rsid w:val="00932BCF"/>
    <w:rPr>
      <w:b/>
      <w:bCs/>
    </w:rPr>
  </w:style>
  <w:style w:type="character" w:customStyle="1" w:styleId="CommentSubjectChar">
    <w:name w:val="Comment Subject Char"/>
    <w:basedOn w:val="CommentTextChar"/>
    <w:link w:val="CommentSubject"/>
    <w:uiPriority w:val="99"/>
    <w:semiHidden/>
    <w:rsid w:val="00932BCF"/>
    <w:rPr>
      <w:b/>
      <w:bCs/>
      <w:sz w:val="20"/>
      <w:szCs w:val="20"/>
    </w:rPr>
  </w:style>
  <w:style w:type="paragraph" w:customStyle="1" w:styleId="LetterheadDate">
    <w:name w:val="Letterhead Date"/>
    <w:next w:val="Normal"/>
    <w:qFormat/>
    <w:rsid w:val="00762B87"/>
    <w:pPr>
      <w:spacing w:before="120" w:after="400" w:line="276" w:lineRule="auto"/>
    </w:pPr>
    <w:rPr>
      <w:rFonts w:ascii="Arial" w:eastAsia="MS Mincho" w:hAnsi="Arial" w:cs="Times New Roman"/>
      <w:sz w:val="24"/>
      <w:szCs w:val="24"/>
    </w:rPr>
  </w:style>
  <w:style w:type="character" w:styleId="Mention">
    <w:name w:val="Mention"/>
    <w:basedOn w:val="DefaultParagraphFont"/>
    <w:uiPriority w:val="99"/>
    <w:unhideWhenUsed/>
    <w:rsid w:val="00E56631"/>
    <w:rPr>
      <w:color w:val="2B579A"/>
      <w:shd w:val="clear" w:color="auto" w:fill="E6E6E6"/>
    </w:rPr>
  </w:style>
  <w:style w:type="paragraph" w:styleId="Revision">
    <w:name w:val="Revision"/>
    <w:hidden/>
    <w:uiPriority w:val="99"/>
    <w:semiHidden/>
    <w:rsid w:val="00E85007"/>
    <w:pPr>
      <w:spacing w:after="0" w:line="240" w:lineRule="auto"/>
    </w:pPr>
  </w:style>
  <w:style w:type="character" w:styleId="FollowedHyperlink">
    <w:name w:val="FollowedHyperlink"/>
    <w:basedOn w:val="DefaultParagraphFont"/>
    <w:uiPriority w:val="99"/>
    <w:semiHidden/>
    <w:unhideWhenUsed/>
    <w:rsid w:val="001D2F28"/>
    <w:rPr>
      <w:color w:val="954F72" w:themeColor="followedHyperlink"/>
      <w:u w:val="single"/>
    </w:rPr>
  </w:style>
  <w:style w:type="paragraph" w:styleId="Header">
    <w:name w:val="header"/>
    <w:basedOn w:val="Normal"/>
    <w:link w:val="HeaderChar"/>
    <w:uiPriority w:val="99"/>
    <w:unhideWhenUsed/>
    <w:rsid w:val="00A5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E5"/>
  </w:style>
  <w:style w:type="paragraph" w:styleId="Footer">
    <w:name w:val="footer"/>
    <w:basedOn w:val="Normal"/>
    <w:link w:val="FooterChar"/>
    <w:uiPriority w:val="99"/>
    <w:unhideWhenUsed/>
    <w:rsid w:val="00A5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E5"/>
  </w:style>
  <w:style w:type="character" w:customStyle="1" w:styleId="Heading3Char">
    <w:name w:val="Heading 3 Char"/>
    <w:basedOn w:val="DefaultParagraphFont"/>
    <w:link w:val="Heading3"/>
    <w:uiPriority w:val="9"/>
    <w:semiHidden/>
    <w:rsid w:val="00BF291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7949">
      <w:bodyDiv w:val="1"/>
      <w:marLeft w:val="0"/>
      <w:marRight w:val="0"/>
      <w:marTop w:val="0"/>
      <w:marBottom w:val="0"/>
      <w:divBdr>
        <w:top w:val="none" w:sz="0" w:space="0" w:color="auto"/>
        <w:left w:val="none" w:sz="0" w:space="0" w:color="auto"/>
        <w:bottom w:val="none" w:sz="0" w:space="0" w:color="auto"/>
        <w:right w:val="none" w:sz="0" w:space="0" w:color="auto"/>
      </w:divBdr>
      <w:divsChild>
        <w:div w:id="429664202">
          <w:marLeft w:val="0"/>
          <w:marRight w:val="0"/>
          <w:marTop w:val="0"/>
          <w:marBottom w:val="0"/>
          <w:divBdr>
            <w:top w:val="none" w:sz="0" w:space="0" w:color="auto"/>
            <w:left w:val="none" w:sz="0" w:space="0" w:color="auto"/>
            <w:bottom w:val="none" w:sz="0" w:space="0" w:color="auto"/>
            <w:right w:val="none" w:sz="0" w:space="0" w:color="auto"/>
          </w:divBdr>
        </w:div>
        <w:div w:id="500975112">
          <w:marLeft w:val="0"/>
          <w:marRight w:val="0"/>
          <w:marTop w:val="0"/>
          <w:marBottom w:val="0"/>
          <w:divBdr>
            <w:top w:val="none" w:sz="0" w:space="0" w:color="auto"/>
            <w:left w:val="none" w:sz="0" w:space="0" w:color="auto"/>
            <w:bottom w:val="none" w:sz="0" w:space="0" w:color="auto"/>
            <w:right w:val="none" w:sz="0" w:space="0" w:color="auto"/>
          </w:divBdr>
        </w:div>
        <w:div w:id="532308583">
          <w:marLeft w:val="0"/>
          <w:marRight w:val="0"/>
          <w:marTop w:val="0"/>
          <w:marBottom w:val="0"/>
          <w:divBdr>
            <w:top w:val="none" w:sz="0" w:space="0" w:color="auto"/>
            <w:left w:val="none" w:sz="0" w:space="0" w:color="auto"/>
            <w:bottom w:val="none" w:sz="0" w:space="0" w:color="auto"/>
            <w:right w:val="none" w:sz="0" w:space="0" w:color="auto"/>
          </w:divBdr>
        </w:div>
        <w:div w:id="655034706">
          <w:marLeft w:val="0"/>
          <w:marRight w:val="0"/>
          <w:marTop w:val="0"/>
          <w:marBottom w:val="0"/>
          <w:divBdr>
            <w:top w:val="none" w:sz="0" w:space="0" w:color="auto"/>
            <w:left w:val="none" w:sz="0" w:space="0" w:color="auto"/>
            <w:bottom w:val="none" w:sz="0" w:space="0" w:color="auto"/>
            <w:right w:val="none" w:sz="0" w:space="0" w:color="auto"/>
          </w:divBdr>
        </w:div>
        <w:div w:id="796414258">
          <w:marLeft w:val="0"/>
          <w:marRight w:val="0"/>
          <w:marTop w:val="0"/>
          <w:marBottom w:val="0"/>
          <w:divBdr>
            <w:top w:val="none" w:sz="0" w:space="0" w:color="auto"/>
            <w:left w:val="none" w:sz="0" w:space="0" w:color="auto"/>
            <w:bottom w:val="none" w:sz="0" w:space="0" w:color="auto"/>
            <w:right w:val="none" w:sz="0" w:space="0" w:color="auto"/>
          </w:divBdr>
        </w:div>
        <w:div w:id="1052577513">
          <w:marLeft w:val="0"/>
          <w:marRight w:val="0"/>
          <w:marTop w:val="0"/>
          <w:marBottom w:val="0"/>
          <w:divBdr>
            <w:top w:val="none" w:sz="0" w:space="0" w:color="auto"/>
            <w:left w:val="none" w:sz="0" w:space="0" w:color="auto"/>
            <w:bottom w:val="none" w:sz="0" w:space="0" w:color="auto"/>
            <w:right w:val="none" w:sz="0" w:space="0" w:color="auto"/>
          </w:divBdr>
        </w:div>
        <w:div w:id="1099830651">
          <w:marLeft w:val="0"/>
          <w:marRight w:val="0"/>
          <w:marTop w:val="0"/>
          <w:marBottom w:val="0"/>
          <w:divBdr>
            <w:top w:val="none" w:sz="0" w:space="0" w:color="auto"/>
            <w:left w:val="none" w:sz="0" w:space="0" w:color="auto"/>
            <w:bottom w:val="none" w:sz="0" w:space="0" w:color="auto"/>
            <w:right w:val="none" w:sz="0" w:space="0" w:color="auto"/>
          </w:divBdr>
        </w:div>
        <w:div w:id="1501962497">
          <w:marLeft w:val="0"/>
          <w:marRight w:val="0"/>
          <w:marTop w:val="0"/>
          <w:marBottom w:val="0"/>
          <w:divBdr>
            <w:top w:val="none" w:sz="0" w:space="0" w:color="auto"/>
            <w:left w:val="none" w:sz="0" w:space="0" w:color="auto"/>
            <w:bottom w:val="none" w:sz="0" w:space="0" w:color="auto"/>
            <w:right w:val="none" w:sz="0" w:space="0" w:color="auto"/>
          </w:divBdr>
        </w:div>
      </w:divsChild>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289751888">
      <w:bodyDiv w:val="1"/>
      <w:marLeft w:val="0"/>
      <w:marRight w:val="0"/>
      <w:marTop w:val="0"/>
      <w:marBottom w:val="0"/>
      <w:divBdr>
        <w:top w:val="none" w:sz="0" w:space="0" w:color="auto"/>
        <w:left w:val="none" w:sz="0" w:space="0" w:color="auto"/>
        <w:bottom w:val="none" w:sz="0" w:space="0" w:color="auto"/>
        <w:right w:val="none" w:sz="0" w:space="0" w:color="auto"/>
      </w:divBdr>
      <w:divsChild>
        <w:div w:id="28264739">
          <w:marLeft w:val="0"/>
          <w:marRight w:val="0"/>
          <w:marTop w:val="0"/>
          <w:marBottom w:val="0"/>
          <w:divBdr>
            <w:top w:val="none" w:sz="0" w:space="0" w:color="auto"/>
            <w:left w:val="none" w:sz="0" w:space="0" w:color="auto"/>
            <w:bottom w:val="none" w:sz="0" w:space="0" w:color="auto"/>
            <w:right w:val="none" w:sz="0" w:space="0" w:color="auto"/>
          </w:divBdr>
        </w:div>
        <w:div w:id="1174340411">
          <w:marLeft w:val="0"/>
          <w:marRight w:val="0"/>
          <w:marTop w:val="0"/>
          <w:marBottom w:val="0"/>
          <w:divBdr>
            <w:top w:val="none" w:sz="0" w:space="0" w:color="auto"/>
            <w:left w:val="none" w:sz="0" w:space="0" w:color="auto"/>
            <w:bottom w:val="none" w:sz="0" w:space="0" w:color="auto"/>
            <w:right w:val="none" w:sz="0" w:space="0" w:color="auto"/>
          </w:divBdr>
        </w:div>
        <w:div w:id="1260331843">
          <w:marLeft w:val="0"/>
          <w:marRight w:val="0"/>
          <w:marTop w:val="0"/>
          <w:marBottom w:val="0"/>
          <w:divBdr>
            <w:top w:val="none" w:sz="0" w:space="0" w:color="auto"/>
            <w:left w:val="none" w:sz="0" w:space="0" w:color="auto"/>
            <w:bottom w:val="none" w:sz="0" w:space="0" w:color="auto"/>
            <w:right w:val="none" w:sz="0" w:space="0" w:color="auto"/>
          </w:divBdr>
        </w:div>
        <w:div w:id="1539932079">
          <w:marLeft w:val="0"/>
          <w:marRight w:val="0"/>
          <w:marTop w:val="0"/>
          <w:marBottom w:val="0"/>
          <w:divBdr>
            <w:top w:val="none" w:sz="0" w:space="0" w:color="auto"/>
            <w:left w:val="none" w:sz="0" w:space="0" w:color="auto"/>
            <w:bottom w:val="none" w:sz="0" w:space="0" w:color="auto"/>
            <w:right w:val="none" w:sz="0" w:space="0" w:color="auto"/>
          </w:divBdr>
        </w:div>
        <w:div w:id="1718895314">
          <w:marLeft w:val="0"/>
          <w:marRight w:val="0"/>
          <w:marTop w:val="0"/>
          <w:marBottom w:val="0"/>
          <w:divBdr>
            <w:top w:val="none" w:sz="0" w:space="0" w:color="auto"/>
            <w:left w:val="none" w:sz="0" w:space="0" w:color="auto"/>
            <w:bottom w:val="none" w:sz="0" w:space="0" w:color="auto"/>
            <w:right w:val="none" w:sz="0" w:space="0" w:color="auto"/>
          </w:divBdr>
        </w:div>
        <w:div w:id="1811512402">
          <w:marLeft w:val="0"/>
          <w:marRight w:val="0"/>
          <w:marTop w:val="0"/>
          <w:marBottom w:val="0"/>
          <w:divBdr>
            <w:top w:val="none" w:sz="0" w:space="0" w:color="auto"/>
            <w:left w:val="none" w:sz="0" w:space="0" w:color="auto"/>
            <w:bottom w:val="none" w:sz="0" w:space="0" w:color="auto"/>
            <w:right w:val="none" w:sz="0" w:space="0" w:color="auto"/>
          </w:divBdr>
        </w:div>
        <w:div w:id="1863395773">
          <w:marLeft w:val="0"/>
          <w:marRight w:val="0"/>
          <w:marTop w:val="0"/>
          <w:marBottom w:val="0"/>
          <w:divBdr>
            <w:top w:val="none" w:sz="0" w:space="0" w:color="auto"/>
            <w:left w:val="none" w:sz="0" w:space="0" w:color="auto"/>
            <w:bottom w:val="none" w:sz="0" w:space="0" w:color="auto"/>
            <w:right w:val="none" w:sz="0" w:space="0" w:color="auto"/>
          </w:divBdr>
        </w:div>
        <w:div w:id="1903634864">
          <w:marLeft w:val="0"/>
          <w:marRight w:val="0"/>
          <w:marTop w:val="0"/>
          <w:marBottom w:val="0"/>
          <w:divBdr>
            <w:top w:val="none" w:sz="0" w:space="0" w:color="auto"/>
            <w:left w:val="none" w:sz="0" w:space="0" w:color="auto"/>
            <w:bottom w:val="none" w:sz="0" w:space="0" w:color="auto"/>
            <w:right w:val="none" w:sz="0" w:space="0" w:color="auto"/>
          </w:divBdr>
        </w:div>
      </w:divsChild>
    </w:div>
    <w:div w:id="337082132">
      <w:bodyDiv w:val="1"/>
      <w:marLeft w:val="0"/>
      <w:marRight w:val="0"/>
      <w:marTop w:val="0"/>
      <w:marBottom w:val="0"/>
      <w:divBdr>
        <w:top w:val="none" w:sz="0" w:space="0" w:color="auto"/>
        <w:left w:val="none" w:sz="0" w:space="0" w:color="auto"/>
        <w:bottom w:val="none" w:sz="0" w:space="0" w:color="auto"/>
        <w:right w:val="none" w:sz="0" w:space="0" w:color="auto"/>
      </w:divBdr>
      <w:divsChild>
        <w:div w:id="859005676">
          <w:marLeft w:val="0"/>
          <w:marRight w:val="0"/>
          <w:marTop w:val="0"/>
          <w:marBottom w:val="0"/>
          <w:divBdr>
            <w:top w:val="none" w:sz="0" w:space="0" w:color="auto"/>
            <w:left w:val="none" w:sz="0" w:space="0" w:color="auto"/>
            <w:bottom w:val="none" w:sz="0" w:space="0" w:color="auto"/>
            <w:right w:val="none" w:sz="0" w:space="0" w:color="auto"/>
          </w:divBdr>
        </w:div>
        <w:div w:id="1920363666">
          <w:marLeft w:val="0"/>
          <w:marRight w:val="0"/>
          <w:marTop w:val="0"/>
          <w:marBottom w:val="0"/>
          <w:divBdr>
            <w:top w:val="none" w:sz="0" w:space="0" w:color="auto"/>
            <w:left w:val="none" w:sz="0" w:space="0" w:color="auto"/>
            <w:bottom w:val="none" w:sz="0" w:space="0" w:color="auto"/>
            <w:right w:val="none" w:sz="0" w:space="0" w:color="auto"/>
          </w:divBdr>
        </w:div>
      </w:divsChild>
    </w:div>
    <w:div w:id="453211183">
      <w:bodyDiv w:val="1"/>
      <w:marLeft w:val="0"/>
      <w:marRight w:val="0"/>
      <w:marTop w:val="0"/>
      <w:marBottom w:val="0"/>
      <w:divBdr>
        <w:top w:val="none" w:sz="0" w:space="0" w:color="auto"/>
        <w:left w:val="none" w:sz="0" w:space="0" w:color="auto"/>
        <w:bottom w:val="none" w:sz="0" w:space="0" w:color="auto"/>
        <w:right w:val="none" w:sz="0" w:space="0" w:color="auto"/>
      </w:divBdr>
    </w:div>
    <w:div w:id="594630964">
      <w:bodyDiv w:val="1"/>
      <w:marLeft w:val="0"/>
      <w:marRight w:val="0"/>
      <w:marTop w:val="0"/>
      <w:marBottom w:val="0"/>
      <w:divBdr>
        <w:top w:val="none" w:sz="0" w:space="0" w:color="auto"/>
        <w:left w:val="none" w:sz="0" w:space="0" w:color="auto"/>
        <w:bottom w:val="none" w:sz="0" w:space="0" w:color="auto"/>
        <w:right w:val="none" w:sz="0" w:space="0" w:color="auto"/>
      </w:divBdr>
    </w:div>
    <w:div w:id="875385848">
      <w:bodyDiv w:val="1"/>
      <w:marLeft w:val="0"/>
      <w:marRight w:val="0"/>
      <w:marTop w:val="0"/>
      <w:marBottom w:val="0"/>
      <w:divBdr>
        <w:top w:val="none" w:sz="0" w:space="0" w:color="auto"/>
        <w:left w:val="none" w:sz="0" w:space="0" w:color="auto"/>
        <w:bottom w:val="none" w:sz="0" w:space="0" w:color="auto"/>
        <w:right w:val="none" w:sz="0" w:space="0" w:color="auto"/>
      </w:divBdr>
      <w:divsChild>
        <w:div w:id="66075739">
          <w:marLeft w:val="547"/>
          <w:marRight w:val="0"/>
          <w:marTop w:val="267"/>
          <w:marBottom w:val="0"/>
          <w:divBdr>
            <w:top w:val="none" w:sz="0" w:space="0" w:color="auto"/>
            <w:left w:val="none" w:sz="0" w:space="0" w:color="auto"/>
            <w:bottom w:val="none" w:sz="0" w:space="0" w:color="auto"/>
            <w:right w:val="none" w:sz="0" w:space="0" w:color="auto"/>
          </w:divBdr>
        </w:div>
        <w:div w:id="156116935">
          <w:marLeft w:val="547"/>
          <w:marRight w:val="0"/>
          <w:marTop w:val="267"/>
          <w:marBottom w:val="0"/>
          <w:divBdr>
            <w:top w:val="none" w:sz="0" w:space="0" w:color="auto"/>
            <w:left w:val="none" w:sz="0" w:space="0" w:color="auto"/>
            <w:bottom w:val="none" w:sz="0" w:space="0" w:color="auto"/>
            <w:right w:val="none" w:sz="0" w:space="0" w:color="auto"/>
          </w:divBdr>
        </w:div>
        <w:div w:id="1476487086">
          <w:marLeft w:val="547"/>
          <w:marRight w:val="0"/>
          <w:marTop w:val="267"/>
          <w:marBottom w:val="0"/>
          <w:divBdr>
            <w:top w:val="none" w:sz="0" w:space="0" w:color="auto"/>
            <w:left w:val="none" w:sz="0" w:space="0" w:color="auto"/>
            <w:bottom w:val="none" w:sz="0" w:space="0" w:color="auto"/>
            <w:right w:val="none" w:sz="0" w:space="0" w:color="auto"/>
          </w:divBdr>
        </w:div>
        <w:div w:id="2073699574">
          <w:marLeft w:val="547"/>
          <w:marRight w:val="0"/>
          <w:marTop w:val="267"/>
          <w:marBottom w:val="0"/>
          <w:divBdr>
            <w:top w:val="none" w:sz="0" w:space="0" w:color="auto"/>
            <w:left w:val="none" w:sz="0" w:space="0" w:color="auto"/>
            <w:bottom w:val="none" w:sz="0" w:space="0" w:color="auto"/>
            <w:right w:val="none" w:sz="0" w:space="0" w:color="auto"/>
          </w:divBdr>
        </w:div>
      </w:divsChild>
    </w:div>
    <w:div w:id="980158736">
      <w:bodyDiv w:val="1"/>
      <w:marLeft w:val="0"/>
      <w:marRight w:val="0"/>
      <w:marTop w:val="0"/>
      <w:marBottom w:val="0"/>
      <w:divBdr>
        <w:top w:val="none" w:sz="0" w:space="0" w:color="auto"/>
        <w:left w:val="none" w:sz="0" w:space="0" w:color="auto"/>
        <w:bottom w:val="none" w:sz="0" w:space="0" w:color="auto"/>
        <w:right w:val="none" w:sz="0" w:space="0" w:color="auto"/>
      </w:divBdr>
    </w:div>
    <w:div w:id="999040446">
      <w:bodyDiv w:val="1"/>
      <w:marLeft w:val="0"/>
      <w:marRight w:val="0"/>
      <w:marTop w:val="0"/>
      <w:marBottom w:val="0"/>
      <w:divBdr>
        <w:top w:val="none" w:sz="0" w:space="0" w:color="auto"/>
        <w:left w:val="none" w:sz="0" w:space="0" w:color="auto"/>
        <w:bottom w:val="none" w:sz="0" w:space="0" w:color="auto"/>
        <w:right w:val="none" w:sz="0" w:space="0" w:color="auto"/>
      </w:divBdr>
    </w:div>
    <w:div w:id="1272932970">
      <w:bodyDiv w:val="1"/>
      <w:marLeft w:val="0"/>
      <w:marRight w:val="0"/>
      <w:marTop w:val="0"/>
      <w:marBottom w:val="0"/>
      <w:divBdr>
        <w:top w:val="none" w:sz="0" w:space="0" w:color="auto"/>
        <w:left w:val="none" w:sz="0" w:space="0" w:color="auto"/>
        <w:bottom w:val="none" w:sz="0" w:space="0" w:color="auto"/>
        <w:right w:val="none" w:sz="0" w:space="0" w:color="auto"/>
      </w:divBdr>
    </w:div>
    <w:div w:id="1281111989">
      <w:bodyDiv w:val="1"/>
      <w:marLeft w:val="0"/>
      <w:marRight w:val="0"/>
      <w:marTop w:val="0"/>
      <w:marBottom w:val="0"/>
      <w:divBdr>
        <w:top w:val="none" w:sz="0" w:space="0" w:color="auto"/>
        <w:left w:val="none" w:sz="0" w:space="0" w:color="auto"/>
        <w:bottom w:val="none" w:sz="0" w:space="0" w:color="auto"/>
        <w:right w:val="none" w:sz="0" w:space="0" w:color="auto"/>
      </w:divBdr>
      <w:divsChild>
        <w:div w:id="536818970">
          <w:marLeft w:val="0"/>
          <w:marRight w:val="0"/>
          <w:marTop w:val="0"/>
          <w:marBottom w:val="0"/>
          <w:divBdr>
            <w:top w:val="none" w:sz="0" w:space="0" w:color="auto"/>
            <w:left w:val="none" w:sz="0" w:space="0" w:color="auto"/>
            <w:bottom w:val="none" w:sz="0" w:space="0" w:color="auto"/>
            <w:right w:val="none" w:sz="0" w:space="0" w:color="auto"/>
          </w:divBdr>
        </w:div>
        <w:div w:id="1553543556">
          <w:marLeft w:val="0"/>
          <w:marRight w:val="0"/>
          <w:marTop w:val="0"/>
          <w:marBottom w:val="0"/>
          <w:divBdr>
            <w:top w:val="none" w:sz="0" w:space="0" w:color="auto"/>
            <w:left w:val="none" w:sz="0" w:space="0" w:color="auto"/>
            <w:bottom w:val="none" w:sz="0" w:space="0" w:color="auto"/>
            <w:right w:val="none" w:sz="0" w:space="0" w:color="auto"/>
          </w:divBdr>
        </w:div>
      </w:divsChild>
    </w:div>
    <w:div w:id="1330131238">
      <w:bodyDiv w:val="1"/>
      <w:marLeft w:val="0"/>
      <w:marRight w:val="0"/>
      <w:marTop w:val="0"/>
      <w:marBottom w:val="0"/>
      <w:divBdr>
        <w:top w:val="none" w:sz="0" w:space="0" w:color="auto"/>
        <w:left w:val="none" w:sz="0" w:space="0" w:color="auto"/>
        <w:bottom w:val="none" w:sz="0" w:space="0" w:color="auto"/>
        <w:right w:val="none" w:sz="0" w:space="0" w:color="auto"/>
      </w:divBdr>
    </w:div>
    <w:div w:id="1430079583">
      <w:bodyDiv w:val="1"/>
      <w:marLeft w:val="0"/>
      <w:marRight w:val="0"/>
      <w:marTop w:val="0"/>
      <w:marBottom w:val="0"/>
      <w:divBdr>
        <w:top w:val="none" w:sz="0" w:space="0" w:color="auto"/>
        <w:left w:val="none" w:sz="0" w:space="0" w:color="auto"/>
        <w:bottom w:val="none" w:sz="0" w:space="0" w:color="auto"/>
        <w:right w:val="none" w:sz="0" w:space="0" w:color="auto"/>
      </w:divBdr>
      <w:divsChild>
        <w:div w:id="1002782462">
          <w:marLeft w:val="0"/>
          <w:marRight w:val="0"/>
          <w:marTop w:val="0"/>
          <w:marBottom w:val="0"/>
          <w:divBdr>
            <w:top w:val="none" w:sz="0" w:space="0" w:color="auto"/>
            <w:left w:val="none" w:sz="0" w:space="0" w:color="auto"/>
            <w:bottom w:val="none" w:sz="0" w:space="0" w:color="auto"/>
            <w:right w:val="none" w:sz="0" w:space="0" w:color="auto"/>
          </w:divBdr>
        </w:div>
        <w:div w:id="1005278510">
          <w:marLeft w:val="0"/>
          <w:marRight w:val="0"/>
          <w:marTop w:val="0"/>
          <w:marBottom w:val="0"/>
          <w:divBdr>
            <w:top w:val="none" w:sz="0" w:space="0" w:color="auto"/>
            <w:left w:val="none" w:sz="0" w:space="0" w:color="auto"/>
            <w:bottom w:val="none" w:sz="0" w:space="0" w:color="auto"/>
            <w:right w:val="none" w:sz="0" w:space="0" w:color="auto"/>
          </w:divBdr>
        </w:div>
      </w:divsChild>
    </w:div>
    <w:div w:id="1443720417">
      <w:bodyDiv w:val="1"/>
      <w:marLeft w:val="0"/>
      <w:marRight w:val="0"/>
      <w:marTop w:val="0"/>
      <w:marBottom w:val="0"/>
      <w:divBdr>
        <w:top w:val="none" w:sz="0" w:space="0" w:color="auto"/>
        <w:left w:val="none" w:sz="0" w:space="0" w:color="auto"/>
        <w:bottom w:val="none" w:sz="0" w:space="0" w:color="auto"/>
        <w:right w:val="none" w:sz="0" w:space="0" w:color="auto"/>
      </w:divBdr>
    </w:div>
    <w:div w:id="1550652425">
      <w:bodyDiv w:val="1"/>
      <w:marLeft w:val="0"/>
      <w:marRight w:val="0"/>
      <w:marTop w:val="0"/>
      <w:marBottom w:val="0"/>
      <w:divBdr>
        <w:top w:val="none" w:sz="0" w:space="0" w:color="auto"/>
        <w:left w:val="none" w:sz="0" w:space="0" w:color="auto"/>
        <w:bottom w:val="none" w:sz="0" w:space="0" w:color="auto"/>
        <w:right w:val="none" w:sz="0" w:space="0" w:color="auto"/>
      </w:divBdr>
    </w:div>
    <w:div w:id="1757096646">
      <w:bodyDiv w:val="1"/>
      <w:marLeft w:val="0"/>
      <w:marRight w:val="0"/>
      <w:marTop w:val="0"/>
      <w:marBottom w:val="0"/>
      <w:divBdr>
        <w:top w:val="none" w:sz="0" w:space="0" w:color="auto"/>
        <w:left w:val="none" w:sz="0" w:space="0" w:color="auto"/>
        <w:bottom w:val="none" w:sz="0" w:space="0" w:color="auto"/>
        <w:right w:val="none" w:sz="0" w:space="0" w:color="auto"/>
      </w:divBdr>
    </w:div>
    <w:div w:id="1776438004">
      <w:bodyDiv w:val="1"/>
      <w:marLeft w:val="0"/>
      <w:marRight w:val="0"/>
      <w:marTop w:val="0"/>
      <w:marBottom w:val="0"/>
      <w:divBdr>
        <w:top w:val="none" w:sz="0" w:space="0" w:color="auto"/>
        <w:left w:val="none" w:sz="0" w:space="0" w:color="auto"/>
        <w:bottom w:val="none" w:sz="0" w:space="0" w:color="auto"/>
        <w:right w:val="none" w:sz="0" w:space="0" w:color="auto"/>
      </w:divBdr>
    </w:div>
    <w:div w:id="1787189983">
      <w:bodyDiv w:val="1"/>
      <w:marLeft w:val="0"/>
      <w:marRight w:val="0"/>
      <w:marTop w:val="0"/>
      <w:marBottom w:val="0"/>
      <w:divBdr>
        <w:top w:val="none" w:sz="0" w:space="0" w:color="auto"/>
        <w:left w:val="none" w:sz="0" w:space="0" w:color="auto"/>
        <w:bottom w:val="none" w:sz="0" w:space="0" w:color="auto"/>
        <w:right w:val="none" w:sz="0" w:space="0" w:color="auto"/>
      </w:divBdr>
    </w:div>
    <w:div w:id="1994989756">
      <w:bodyDiv w:val="1"/>
      <w:marLeft w:val="0"/>
      <w:marRight w:val="0"/>
      <w:marTop w:val="0"/>
      <w:marBottom w:val="0"/>
      <w:divBdr>
        <w:top w:val="none" w:sz="0" w:space="0" w:color="auto"/>
        <w:left w:val="none" w:sz="0" w:space="0" w:color="auto"/>
        <w:bottom w:val="none" w:sz="0" w:space="0" w:color="auto"/>
        <w:right w:val="none" w:sz="0" w:space="0" w:color="auto"/>
      </w:divBdr>
      <w:divsChild>
        <w:div w:id="230508321">
          <w:marLeft w:val="0"/>
          <w:marRight w:val="0"/>
          <w:marTop w:val="0"/>
          <w:marBottom w:val="0"/>
          <w:divBdr>
            <w:top w:val="none" w:sz="0" w:space="0" w:color="auto"/>
            <w:left w:val="none" w:sz="0" w:space="0" w:color="auto"/>
            <w:bottom w:val="none" w:sz="0" w:space="0" w:color="auto"/>
            <w:right w:val="none" w:sz="0" w:space="0" w:color="auto"/>
          </w:divBdr>
        </w:div>
        <w:div w:id="177035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files/document/2024-qrs-measure-technical-specifications-september-2023.pdf%22%20/t%20%22_blank" TargetMode="External"/><Relationship Id="rId18" Type="http://schemas.openxmlformats.org/officeDocument/2006/relationships/hyperlink" Target="mailto:ub04@aha.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ms.gov/files/document/2026qrsmeasuretechspecs508.pdf" TargetMode="External"/><Relationship Id="rId17" Type="http://schemas.openxmlformats.org/officeDocument/2006/relationships/hyperlink" Target="mailto:ub04@aha.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ms.gov/files/document/2025-quality-rating-system-measure-technical-specifications.pdf" TargetMode="External"/><Relationship Id="rId20" Type="http://schemas.openxmlformats.org/officeDocument/2006/relationships/hyperlink" Target="https://loinc.org/kb/licen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bex.coveredca.com/stakeholders/2025-Amend_QHP-IND_Att-4_8-1-24_Clean-Final.pd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cqa.org/wp-content/uploads/MY-2023-QRS-Technical-Update_041223.pdf%22%20/t%20%22_blan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hbex.coveredca.com/stakeholders/2025-Amend_QHP-IND_Contract_8-1-24_Clean-Final.pdf" TargetMode="External"/><Relationship Id="rId19" Type="http://schemas.openxmlformats.org/officeDocument/2006/relationships/hyperlink" Target="http://lo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qa.org/wp-content/uploads/MY-2023-QRS-Technical-Update_041223.pdf%22%20/t%20%22_blank"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33AC3BB-C8C4-45F2-9560-59C971F3F3EA}">
    <t:Anchor>
      <t:Comment id="787791856"/>
    </t:Anchor>
    <t:History>
      <t:Event id="{3DAB9B6F-AF7F-4A6E-A2A4-C817E8A9601D}" time="2025-03-14T16:44:52.862Z">
        <t:Attribution userId="S::taylor.priestley@covered.ca.gov::21b00f12-bba9-4811-9f74-b4a596ca36b7" userProvider="AD" userName="Priestley, Taylor (CoveredCA)"/>
        <t:Anchor>
          <t:Comment id="787791856"/>
        </t:Anchor>
        <t:Create/>
      </t:Event>
      <t:Event id="{0C6641D3-91E4-44E2-BAC9-29C833AA6F77}" time="2025-03-14T16:44:52.862Z">
        <t:Attribution userId="S::taylor.priestley@covered.ca.gov::21b00f12-bba9-4811-9f74-b4a596ca36b7" userProvider="AD" userName="Priestley, Taylor (CoveredCA)"/>
        <t:Anchor>
          <t:Comment id="787791856"/>
        </t:Anchor>
        <t:Assign userId="S::Joy.Dionisio@covered.ca.gov::3a0ae09b-9388-4c67-a0b9-49cde33312cf" userProvider="AD" userName="Dionisio, Joy (CoveredCA)"/>
      </t:Event>
      <t:Event id="{71C05E48-E7CD-43D8-B591-36776DDEB539}" time="2025-03-14T16:44:52.862Z">
        <t:Attribution userId="S::taylor.priestley@covered.ca.gov::21b00f12-bba9-4811-9f74-b4a596ca36b7" userProvider="AD" userName="Priestley, Taylor (CoveredCA)"/>
        <t:Anchor>
          <t:Comment id="787791856"/>
        </t:Anchor>
        <t:SetTitle title="@Dionisio, Joy (CoveredCA) same question/preference here if possible"/>
      </t:Event>
    </t:History>
  </t:Task>
  <t:Task id="{ACF97250-98ED-41BC-A748-DD6F9D79C57F}">
    <t:Anchor>
      <t:Comment id="1580755916"/>
    </t:Anchor>
    <t:History>
      <t:Event id="{EB4590F8-E5BA-4702-ADC6-2178A210F3DE}" time="2025-03-14T16:43:16.993Z">
        <t:Attribution userId="S::taylor.priestley@covered.ca.gov::21b00f12-bba9-4811-9f74-b4a596ca36b7" userProvider="AD" userName="Priestley, Taylor (CoveredCA)"/>
        <t:Anchor>
          <t:Comment id="1580755916"/>
        </t:Anchor>
        <t:Create/>
      </t:Event>
      <t:Event id="{1E5CB9B9-EEF4-437E-B4C8-DAD774535DF7}" time="2025-03-14T16:43:16.993Z">
        <t:Attribution userId="S::taylor.priestley@covered.ca.gov::21b00f12-bba9-4811-9f74-b4a596ca36b7" userProvider="AD" userName="Priestley, Taylor (CoveredCA)"/>
        <t:Anchor>
          <t:Comment id="1580755916"/>
        </t:Anchor>
        <t:Assign userId="S::Joy.Dionisio@covered.ca.gov::3a0ae09b-9388-4c67-a0b9-49cde33312cf" userProvider="AD" userName="Dionisio, Joy (CoveredCA)"/>
      </t:Event>
      <t:Event id="{1F4CCE93-35DA-4392-9874-414723FCD5FF}" time="2025-03-14T16:43:16.993Z">
        <t:Attribution userId="S::taylor.priestley@covered.ca.gov::21b00f12-bba9-4811-9f74-b4a596ca36b7" userProvider="AD" userName="Priestley, Taylor (CoveredCA)"/>
        <t:Anchor>
          <t:Comment id="1580755916"/>
        </t:Anchor>
        <t:SetTitle title="@Dionisio, Joy (CoveredCA) are we deviating at all? prefer to say no deviations if we c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aborator_Index xmlns="bfeaafc7-8122-439a-b41e-aa42aaa25315">
      <UserInfo>
        <DisplayName/>
        <AccountId xsi:nil="true"/>
        <AccountType/>
      </UserInfo>
    </Collaborator_Index>
    <EQTArchive xmlns="bfeaafc7-8122-439a-b41e-aa42aaa25315">true</EQTArchive>
    <EQT_x0020_Source xmlns="bfeaafc7-8122-439a-b41e-aa42aaa25315">Please Select</EQT_x0020_Source>
    <EQT_x0020_Type xmlns="bfeaafc7-8122-439a-b41e-aa42aaa25315">Please Select</EQT_x0020_Type>
    <lcf76f155ced4ddcb4097134ff3c332f xmlns="bfeaafc7-8122-439a-b41e-aa42aaa25315">
      <Terms xmlns="http://schemas.microsoft.com/office/infopath/2007/PartnerControls"/>
    </lcf76f155ced4ddcb4097134ff3c332f>
    <TaxCatchAll xmlns="cb93379d-999d-48d8-a735-e855a9fc7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0108D7F28EA428FF561E928DCE3C8" ma:contentTypeVersion="21" ma:contentTypeDescription="Create a new document." ma:contentTypeScope="" ma:versionID="62bc1532b6bbe7d3c853fdb5c389cb44">
  <xsd:schema xmlns:xsd="http://www.w3.org/2001/XMLSchema" xmlns:xs="http://www.w3.org/2001/XMLSchema" xmlns:p="http://schemas.microsoft.com/office/2006/metadata/properties" xmlns:ns2="bfeaafc7-8122-439a-b41e-aa42aaa25315" xmlns:ns3="cb93379d-999d-48d8-a735-e855a9fc7a6a" targetNamespace="http://schemas.microsoft.com/office/2006/metadata/properties" ma:root="true" ma:fieldsID="b9dc55aed8d88e02c1dc879bc9607f81" ns2:_="" ns3:_="">
    <xsd:import namespace="bfeaafc7-8122-439a-b41e-aa42aaa25315"/>
    <xsd:import namespace="cb93379d-999d-48d8-a735-e855a9fc7a6a"/>
    <xsd:element name="properties">
      <xsd:complexType>
        <xsd:sequence>
          <xsd:element name="documentManagement">
            <xsd:complexType>
              <xsd:all>
                <xsd:element ref="ns2:MediaServiceMetadata" minOccurs="0"/>
                <xsd:element ref="ns2:MediaServiceFastMetadata" minOccurs="0"/>
                <xsd:element ref="ns2:EQT_x0020_Type" minOccurs="0"/>
                <xsd:element ref="ns2:EQT_x0020_Source" minOccurs="0"/>
                <xsd:element ref="ns2:Collaborator_Index" minOccurs="0"/>
                <xsd:element ref="ns2:EQTArchiv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aafc7-8122-439a-b41e-aa42aaa25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QT_x0020_Type" ma:index="10" nillable="true" ma:displayName="EQT Type" ma:default="Please Select" ma:format="Dropdown" ma:internalName="EQ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ertification Application"/>
          <xsd:enumeration value="Charter"/>
          <xsd:enumeration value="Comment Tracker"/>
          <xsd:enumeration value="Contract"/>
          <xsd:enumeration value="Cover Letter"/>
          <xsd:enumeration value="Crosswalk"/>
          <xsd:enumeration value="Database"/>
          <xsd:enumeration value="Email"/>
          <xsd:enumeration value="Example Letter"/>
          <xsd:enumeration value="Framework"/>
          <xsd:enumeration value="Folder"/>
          <xsd:enumeration value="Guide"/>
          <xsd:enumeration value="Improvement Plan"/>
          <xsd:enumeration value="Instructions"/>
          <xsd:enumeration value="Invoice"/>
          <xsd:enumeration value="List Resource"/>
          <xsd:enumeration value="Meeting Notes"/>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EQT_x0020_Source" ma:index="11" nillable="true" ma:displayName="EQT Source" ma:default="Please Select" ma:format="Dropdown" ma:internalName="EQT_x0020_Sourc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element name="Collaborator_Index" ma:index="12" nillable="true" ma:displayName="Collaborator_Index" ma:list="UserInfo" ma:SharePointGroup="5" ma:internalName="Collaborat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QTArchive" ma:index="13" nillable="true" ma:displayName="EQT Archive" ma:default="1" ma:format="Dropdown" ma:internalName="EQTArchive">
      <xsd:simpleType>
        <xsd:restriction base="dms:Boolea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3379d-999d-48d8-a735-e855a9fc7a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34ddde-ad1d-489c-8430-93d04df754a8}" ma:internalName="TaxCatchAll" ma:showField="CatchAllData" ma:web="cb93379d-999d-48d8-a735-e855a9fc7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80E46-1C6D-4AFA-B58C-BA9110F4FAB3}">
  <ds:schemaRefs>
    <ds:schemaRef ds:uri="http://schemas.microsoft.com/office/2006/metadata/properties"/>
    <ds:schemaRef ds:uri="http://schemas.microsoft.com/office/infopath/2007/PartnerControls"/>
    <ds:schemaRef ds:uri="bfeaafc7-8122-439a-b41e-aa42aaa25315"/>
    <ds:schemaRef ds:uri="cb93379d-999d-48d8-a735-e855a9fc7a6a"/>
  </ds:schemaRefs>
</ds:datastoreItem>
</file>

<file path=customXml/itemProps2.xml><?xml version="1.0" encoding="utf-8"?>
<ds:datastoreItem xmlns:ds="http://schemas.openxmlformats.org/officeDocument/2006/customXml" ds:itemID="{44DC2116-3434-4274-9250-D4F88A04A8B9}">
  <ds:schemaRefs>
    <ds:schemaRef ds:uri="http://schemas.microsoft.com/sharepoint/v3/contenttype/forms"/>
  </ds:schemaRefs>
</ds:datastoreItem>
</file>

<file path=customXml/itemProps3.xml><?xml version="1.0" encoding="utf-8"?>
<ds:datastoreItem xmlns:ds="http://schemas.openxmlformats.org/officeDocument/2006/customXml" ds:itemID="{D7C7FAF2-2729-4626-A8FE-4F1AF236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aafc7-8122-439a-b41e-aa42aaa25315"/>
    <ds:schemaRef ds:uri="cb93379d-999d-48d8-a735-e855a9fc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Links>
    <vt:vector size="66" baseType="variant">
      <vt:variant>
        <vt:i4>327701</vt:i4>
      </vt:variant>
      <vt:variant>
        <vt:i4>30</vt:i4>
      </vt:variant>
      <vt:variant>
        <vt:i4>0</vt:i4>
      </vt:variant>
      <vt:variant>
        <vt:i4>5</vt:i4>
      </vt:variant>
      <vt:variant>
        <vt:lpwstr>https://loinc.org/kb/license/</vt:lpwstr>
      </vt:variant>
      <vt:variant>
        <vt:lpwstr/>
      </vt:variant>
      <vt:variant>
        <vt:i4>4522068</vt:i4>
      </vt:variant>
      <vt:variant>
        <vt:i4>27</vt:i4>
      </vt:variant>
      <vt:variant>
        <vt:i4>0</vt:i4>
      </vt:variant>
      <vt:variant>
        <vt:i4>5</vt:i4>
      </vt:variant>
      <vt:variant>
        <vt:lpwstr>http://loinc.org/</vt:lpwstr>
      </vt:variant>
      <vt:variant>
        <vt:lpwstr/>
      </vt:variant>
      <vt:variant>
        <vt:i4>5439603</vt:i4>
      </vt:variant>
      <vt:variant>
        <vt:i4>24</vt:i4>
      </vt:variant>
      <vt:variant>
        <vt:i4>0</vt:i4>
      </vt:variant>
      <vt:variant>
        <vt:i4>5</vt:i4>
      </vt:variant>
      <vt:variant>
        <vt:lpwstr>mailto:ub04@aha.org</vt:lpwstr>
      </vt:variant>
      <vt:variant>
        <vt:lpwstr/>
      </vt:variant>
      <vt:variant>
        <vt:i4>5439603</vt:i4>
      </vt:variant>
      <vt:variant>
        <vt:i4>21</vt:i4>
      </vt:variant>
      <vt:variant>
        <vt:i4>0</vt:i4>
      </vt:variant>
      <vt:variant>
        <vt:i4>5</vt:i4>
      </vt:variant>
      <vt:variant>
        <vt:lpwstr>mailto:ub04@aha.org</vt:lpwstr>
      </vt:variant>
      <vt:variant>
        <vt:lpwstr/>
      </vt:variant>
      <vt:variant>
        <vt:i4>2097251</vt:i4>
      </vt:variant>
      <vt:variant>
        <vt:i4>18</vt:i4>
      </vt:variant>
      <vt:variant>
        <vt:i4>0</vt:i4>
      </vt:variant>
      <vt:variant>
        <vt:i4>5</vt:i4>
      </vt:variant>
      <vt:variant>
        <vt:lpwstr>https://www.cms.gov/files/document/2025-quality-rating-system-measure-technical-specifications.pdf</vt:lpwstr>
      </vt:variant>
      <vt:variant>
        <vt:lpwstr/>
      </vt:variant>
      <vt:variant>
        <vt:i4>5177367</vt:i4>
      </vt:variant>
      <vt:variant>
        <vt:i4>15</vt:i4>
      </vt:variant>
      <vt:variant>
        <vt:i4>0</vt:i4>
      </vt:variant>
      <vt:variant>
        <vt:i4>5</vt:i4>
      </vt:variant>
      <vt:variant>
        <vt:lpwstr>https://www.ncqa.org/wp-content/uploads/MY-2023-QRS-Technical-Update_041223.pdf%22 /t %22_blank</vt:lpwstr>
      </vt:variant>
      <vt:variant>
        <vt:lpwstr/>
      </vt:variant>
      <vt:variant>
        <vt:i4>5177367</vt:i4>
      </vt:variant>
      <vt:variant>
        <vt:i4>12</vt:i4>
      </vt:variant>
      <vt:variant>
        <vt:i4>0</vt:i4>
      </vt:variant>
      <vt:variant>
        <vt:i4>5</vt:i4>
      </vt:variant>
      <vt:variant>
        <vt:lpwstr>https://www.ncqa.org/wp-content/uploads/MY-2023-QRS-Technical-Update_041223.pdf%22 /t %22_blank</vt:lpwstr>
      </vt:variant>
      <vt:variant>
        <vt:lpwstr/>
      </vt:variant>
      <vt:variant>
        <vt:i4>4522097</vt:i4>
      </vt:variant>
      <vt:variant>
        <vt:i4>9</vt:i4>
      </vt:variant>
      <vt:variant>
        <vt:i4>0</vt:i4>
      </vt:variant>
      <vt:variant>
        <vt:i4>5</vt:i4>
      </vt:variant>
      <vt:variant>
        <vt:lpwstr>https://www.cms.gov/files/document/2024-qrs-measure-technical-specifications-september-2023.pdf%22 /t %22_blank</vt:lpwstr>
      </vt:variant>
      <vt:variant>
        <vt:lpwstr/>
      </vt:variant>
      <vt:variant>
        <vt:i4>851992</vt:i4>
      </vt:variant>
      <vt:variant>
        <vt:i4>6</vt:i4>
      </vt:variant>
      <vt:variant>
        <vt:i4>0</vt:i4>
      </vt:variant>
      <vt:variant>
        <vt:i4>5</vt:i4>
      </vt:variant>
      <vt:variant>
        <vt:lpwstr>https://www.cms.gov/files/document/2026qrsmeasuretechspecs508.pdf</vt:lpwstr>
      </vt:variant>
      <vt:variant>
        <vt:lpwstr/>
      </vt:variant>
      <vt:variant>
        <vt:i4>524359</vt:i4>
      </vt:variant>
      <vt:variant>
        <vt:i4>3</vt:i4>
      </vt:variant>
      <vt:variant>
        <vt:i4>0</vt:i4>
      </vt:variant>
      <vt:variant>
        <vt:i4>5</vt:i4>
      </vt:variant>
      <vt:variant>
        <vt:lpwstr>https://hbex.coveredca.com/stakeholders/2025-Amend_QHP-IND_Att-4_8-1-24_Clean-Final.pdf</vt:lpwstr>
      </vt:variant>
      <vt:variant>
        <vt:lpwstr/>
      </vt:variant>
      <vt:variant>
        <vt:i4>4325377</vt:i4>
      </vt:variant>
      <vt:variant>
        <vt:i4>0</vt:i4>
      </vt:variant>
      <vt:variant>
        <vt:i4>0</vt:i4>
      </vt:variant>
      <vt:variant>
        <vt:i4>5</vt:i4>
      </vt:variant>
      <vt:variant>
        <vt:lpwstr>https://hbex.coveredca.com/stakeholders/2025-Amend_QHP-IND_Contract_8-1-24_Clean-Final.pdf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Dionisio, Joy (CoveredCA)</dc:creator>
  <cp:keywords/>
  <dc:description/>
  <cp:lastModifiedBy>Dionisio, Joy (CoveredCA)</cp:lastModifiedBy>
  <cp:revision>226</cp:revision>
  <dcterms:created xsi:type="dcterms:W3CDTF">2024-08-30T17:42:00Z</dcterms:created>
  <dcterms:modified xsi:type="dcterms:W3CDTF">2025-10-16T20:54:00Z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2023-08-18T16:57:48Z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a5dd4e4b-1069-45cd-91f4-8b388576145f</vt:lpwstr>
  </property>
  <property fmtid="{D5CDD505-2E9C-101B-9397-08002B2CF9AE}" pid="8" name="MSIP_Label_1b8fe692-65eb-452b-9080-c3b135e23679_ContentBits">
    <vt:lpwstr>0</vt:lpwstr>
  </property>
  <property fmtid="{D5CDD505-2E9C-101B-9397-08002B2CF9AE}" pid="9" name="ContentTypeId">
    <vt:lpwstr>0x01010001E0108D7F28EA428FF561E928DCE3C8</vt:lpwstr>
  </property>
  <property fmtid="{D5CDD505-2E9C-101B-9397-08002B2CF9AE}" pid="10" name="MediaServiceImageTags">
    <vt:lpwstr/>
  </property>
</Properties>
</file>